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січня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 послуг  з проведення офлайн тренінгів  за темою «Бізнес ідея. Створення конкурентного продукту» 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gg36p3cbkkcj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з проведення офлайн тренінгів за темою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«Бізнес ідея. Створення конкурентного продукту»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Чернігівській області.</w:t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тренінг офлайн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Чернігів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re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проведення освітнього курсу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07.03.2026, 08.03.2026 (за погодженням сторін дати можуть бути змінені)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проєкту: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Чернігівська обл.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1 компоненту: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тренінгів за темою “Бізнес ідея. Створення конкурентного продукту”.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тренінгів за темою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«Бізнес ідея. Створення конкурентного продукту»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 теоретичні знання щодо опису та оцінки попиту  на власний продукт (реалістичну і потенційну прибутковіть),  формування ціннісної  пропозиції свого бізнесу (бізнес-ідеї), аналіз зон росту, виявлення  та дослідження ринків збуту практичними інструментами.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10"/>
        <w:gridCol w:w="3465"/>
        <w:tblGridChange w:id="0">
          <w:tblGrid>
            <w:gridCol w:w="5910"/>
            <w:gridCol w:w="34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10 годин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 - 2 відповідно, тренінг повторюватиметься 2 рази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0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Надати учасникам практичні знання та інструменти для розробки життєздатної бізнес-ідеї, формування конкурентного продукту та оцінки його ринкових перспектив. Учасники навчаться визначати потреби цільової аудиторії, аналізувати конкурентів, створювати ціннісну пропозицію та планувати ключові етапи запуску продукту.</w:t>
      </w:r>
    </w:p>
    <w:p w:rsidR="00000000" w:rsidDel="00000000" w:rsidP="00000000" w:rsidRDefault="00000000" w:rsidRPr="00000000" w14:paraId="0000002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можуть самостійно оцінювати попит на власний продукт,  формувати ціннісну пропозицію, вміють проаналізувати зони росту та дослідити ринки збуту.</w:t>
      </w:r>
    </w:p>
    <w:p w:rsidR="00000000" w:rsidDel="00000000" w:rsidP="00000000" w:rsidRDefault="00000000" w:rsidRPr="00000000" w14:paraId="0000002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ey0ivwc038yj" w:id="1"/>
      <w:bookmarkEnd w:id="1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Експертиза та практичний досвід роботи з бізнес-ідеями та їх імплементацією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 .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ny68v58nq1pl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34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Я</w:t>
      </w:r>
    </w:p>
    <w:p w:rsidR="00000000" w:rsidDel="00000000" w:rsidP="00000000" w:rsidRDefault="00000000" w:rsidRPr="00000000" w14:paraId="00000035">
      <w:pPr>
        <w:spacing w:after="60" w:before="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before="4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6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38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постачальника послуг протягом 7 робочих днів з дати підписання Акту виконаних робіт. </w:t>
      </w:r>
    </w:p>
    <w:p w:rsidR="00000000" w:rsidDel="00000000" w:rsidP="00000000" w:rsidRDefault="00000000" w:rsidRPr="00000000" w14:paraId="00000039">
      <w:pPr>
        <w:widowControl w:val="0"/>
        <w:spacing w:line="276" w:lineRule="auto"/>
        <w:ind w:firstLine="56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пропозицій,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інструментів для практичних робіт в групі;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цінову пропозицію,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 якій просимо зазначити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загальну вартість послуги, з конкретизацією вартості тренінгів, включаючи усі супутні витрати (роздаткові матеріали, проживання, харчування, проїзд та ін);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документи про освіту.</w:t>
      </w:r>
    </w:p>
    <w:p w:rsidR="00000000" w:rsidDel="00000000" w:rsidP="00000000" w:rsidRDefault="00000000" w:rsidRPr="00000000" w14:paraId="00000044">
      <w:pPr>
        <w:widowControl w:val="0"/>
        <w:spacing w:line="259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9">
      <w:pPr>
        <w:widowControl w:val="0"/>
        <w:spacing w:line="256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A">
      <w:pPr>
        <w:widowControl w:val="0"/>
        <w:spacing w:after="20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3135"/>
        <w:gridCol w:w="4425"/>
        <w:gridCol w:w="1845"/>
        <w:gridCol w:w="105"/>
        <w:tblGridChange w:id="0">
          <w:tblGrid>
            <w:gridCol w:w="435"/>
            <w:gridCol w:w="3135"/>
            <w:gridCol w:w="4425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spacing w:after="200" w:line="25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bookmarkStart w:colFirst="0" w:colLast="0" w:name="_heading=h.ume0bc4y6o3f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0"/>
          <w:szCs w:val="20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MgTbI2EwGAqj850LCR9wVqCOQ==">CgMxLjAyDmguZ2czNnAzY2Jra2NqMg5oLmV5MGl2d2MwMzh5ajIOaC5ueTY4djU4bnExcGwyDmgudW1lMGJjNHk2bzNmOAByITFQR0pVMGd2YUhoa25iQzBNblliZG9BeTJJNlo4MVFleQ==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