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4FB" w:rsidRDefault="0061053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5448300</wp:posOffset>
            </wp:positionH>
            <wp:positionV relativeFrom="page">
              <wp:posOffset>428625</wp:posOffset>
            </wp:positionV>
            <wp:extent cx="1743710" cy="1154430"/>
            <wp:effectExtent l="0" t="0" r="0" b="0"/>
            <wp:wrapNone/>
            <wp:docPr id="10" name="image1.jpg" descr="C:\Users\sidorkova\Desktop\Logo UK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idorkova\Desktop\Logo UKR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154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D54FB" w:rsidRDefault="005D54FB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54FB" w:rsidRDefault="005D54FB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4FB" w:rsidRDefault="005D54FB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4FB" w:rsidRPr="00E043A0" w:rsidRDefault="0061053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Технічне завдання для закупівлі послуги </w:t>
      </w:r>
    </w:p>
    <w:p w:rsidR="005D54FB" w:rsidRPr="00E043A0" w:rsidRDefault="0061053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проведення тренінгу з </w:t>
      </w:r>
      <w:proofErr w:type="spellStart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менеджменту для Бучанської громади  Київської області та супроводу громади в розробці 2 </w:t>
      </w:r>
      <w:proofErr w:type="spellStart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заявок </w:t>
      </w: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від Благодійного Фонду “Право на Захист”</w:t>
      </w:r>
    </w:p>
    <w:p w:rsidR="005D54FB" w:rsidRPr="00E043A0" w:rsidRDefault="005D54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5D54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Благодійна організація «БЛАГОДІЙНИЙ ФОНД «ПРАВО НА ЗАХИСТ» запрошує до участі в тендері на закупівлю послуги </w:t>
      </w: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проведення тренінгу з </w:t>
      </w:r>
      <w:proofErr w:type="spellStart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менеджменту для Бучанської громади Київської області  та супроводу громади в розробці 2 </w:t>
      </w:r>
      <w:proofErr w:type="spellStart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заявок.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212029696"/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Формат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офлайн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- тренінги</w:t>
      </w:r>
    </w:p>
    <w:bookmarkEnd w:id="0"/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онлайн - супровід громади в розробці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 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Місце проведення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м. Буча Київської області</w:t>
      </w:r>
    </w:p>
    <w:p w:rsidR="005D54FB" w:rsidRPr="00E043A0" w:rsidRDefault="005D54F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Дати надання послуг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листопад-грудень 2025 року (точні дати будуть узгоджені з замовником послуг)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Географія учасників проекту: </w:t>
      </w:r>
      <w:bookmarkStart w:id="1" w:name="_Hlk212029772"/>
      <w:r w:rsidRPr="00E043A0">
        <w:rPr>
          <w:rFonts w:ascii="Times New Roman" w:eastAsia="Times New Roman" w:hAnsi="Times New Roman" w:cs="Times New Roman"/>
          <w:sz w:val="20"/>
          <w:szCs w:val="20"/>
        </w:rPr>
        <w:t>Бучанська громада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Київської області</w:t>
      </w:r>
      <w:bookmarkEnd w:id="1"/>
    </w:p>
    <w:p w:rsidR="005D54FB" w:rsidRPr="00E043A0" w:rsidRDefault="005D54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Детальний опис:</w:t>
      </w: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Послуга складається з 2 компонентів:</w:t>
      </w:r>
    </w:p>
    <w:p w:rsidR="005D54FB" w:rsidRPr="00E043A0" w:rsidRDefault="0061053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Проведення тренінгу з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менеджменту.</w:t>
      </w:r>
    </w:p>
    <w:p w:rsidR="005D54FB" w:rsidRPr="00E043A0" w:rsidRDefault="0061053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Супровід громади в розробці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заявок.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4FB" w:rsidRPr="00E043A0" w:rsidRDefault="005D54FB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4FB" w:rsidRPr="00E043A0" w:rsidRDefault="00610538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Опис компоненту “Проведення тренінгу з </w:t>
      </w:r>
      <w:proofErr w:type="spellStart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менеджменту”</w:t>
      </w:r>
    </w:p>
    <w:p w:rsidR="005D54FB" w:rsidRPr="00E043A0" w:rsidRDefault="00610538">
      <w:pPr>
        <w:spacing w:after="12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Завдан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ня: Організувати та провести для представників органів місцевого самоврядування, Бучанської агенції регіонального розвитку та інших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стейкхолдерів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Бучанської громади Київської області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офлайн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-тренінг із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менеджменту, що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складатиметься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 3 тематични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х модулів і охоплюватиме ключові аспекти управління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проєктами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в громаді. Важливою складовою навчання мають бути 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практичні вправи для учасників зі створення </w:t>
      </w:r>
      <w:proofErr w:type="spellStart"/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>проєкт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для своєї громади.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Тренінг з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 має бути проведено з використанням інте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рактивних методів роботи з групою, підтримуючи групову динаміку, поєднуючи надання теоретичного матеріалу та практичного відпрацювання навичок. Програма з навчання має включати теми:</w:t>
      </w:r>
    </w:p>
    <w:p w:rsidR="005D54FB" w:rsidRPr="00E043A0" w:rsidRDefault="00610538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Основи сучасного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 – ознайомлення з етапами управлін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ня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проєктом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>, побудовою його екосистеми, управлінням ресурсами та ризиками</w:t>
      </w:r>
    </w:p>
    <w:p w:rsidR="005D54FB" w:rsidRPr="00E043A0" w:rsidRDefault="00610538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Залучення фінансування в громаду через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– огляд актуальних програм та донорів, аналіз грантових і інвестиційних можливостей,  розгляд інструментів впровадження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через 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співпрацю громадського сектору та органів місцевого самоврядування, структура та ключові елементи грантових заявок, формулювання цілей, завдань, очікуваних результатів і бюджету, вимоги до прозорості й підзвітності, підходи до моніторингу та оцінювання реа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лізації</w:t>
      </w:r>
    </w:p>
    <w:p w:rsidR="005D54FB" w:rsidRPr="00E043A0" w:rsidRDefault="00610538">
      <w:pPr>
        <w:numPr>
          <w:ilvl w:val="0"/>
          <w:numId w:val="3"/>
        </w:numPr>
        <w:spacing w:after="24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Фандрейзинг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та розвиток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партнерств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– принципи взаємодії з бізнесом, донорами і партнерами, побудова довгострокових партнерських відносин і ефективних комунікаційних каналів, методи 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lastRenderedPageBreak/>
        <w:t>залучення фінансових та нефінансових ресурсів, планування й організ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ація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фандрейзингових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кампаній, створення механізмів залучення бізнесу до соціальних ініціатив громади.</w:t>
      </w:r>
    </w:p>
    <w:p w:rsidR="005D54FB" w:rsidRPr="00E043A0" w:rsidRDefault="00610538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Навчання має передбачати поєднання 40 % теоретичної частини та 60 % практичної частини.</w:t>
      </w:r>
    </w:p>
    <w:p w:rsidR="005D54FB" w:rsidRPr="00E043A0" w:rsidRDefault="00610538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Тренінг має складатися з не менше ніж 3 тематичних модулів. </w:t>
      </w:r>
    </w:p>
    <w:p w:rsidR="005D54FB" w:rsidRPr="00E043A0" w:rsidRDefault="00610538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Коже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н модуль має передбачати 2 дні по 4 години кожен. </w:t>
      </w:r>
    </w:p>
    <w:p w:rsidR="005D54FB" w:rsidRPr="00E043A0" w:rsidRDefault="00610538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Після кожного тематичного модуля має бути надано домашнє завдання учасникам тренінгу для закріплення теми модуля та практичного відпрацювання. Логіка домашніх завдань має бути побудована таким чином, що їх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виконання призведе до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дизайнування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конкретних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заявок, визначеними громадою як пріоритетні. </w:t>
      </w:r>
    </w:p>
    <w:p w:rsidR="005D54FB" w:rsidRPr="00E043A0" w:rsidRDefault="005D54FB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5D54FB" w:rsidRPr="00E043A0" w:rsidRDefault="006105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Цільова аудиторія: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представники органів місцевого самоврядування, Бучанської Агенції регіонального ро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звитку, 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інші місцеві </w:t>
      </w:r>
      <w:proofErr w:type="spellStart"/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>стейкхолдери</w:t>
      </w:r>
      <w:proofErr w:type="spellEnd"/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Бучанській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територіальн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ій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громад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і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Київської області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>зацікавлені у розвитку громади та залученні фінансування.</w:t>
      </w:r>
    </w:p>
    <w:p w:rsidR="005D54FB" w:rsidRPr="00E043A0" w:rsidRDefault="005D54F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Мета надання послуги: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підвищити спроможність представників органів місцевого самоврядування, Бучанської Агенції регіонального розвитку та інших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стейкхолде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рів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Бучанської громади ефективно розробляти, управляти та реалізовувати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розвитку громади шляхом опанування сучасних підходів до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менеджменту, набуття практичних навичок підготовки грантових заявок, формування партнерських відносин із доно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рами та бізнесом.</w:t>
      </w:r>
    </w:p>
    <w:p w:rsidR="005D54FB" w:rsidRPr="00E043A0" w:rsidRDefault="005D54FB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4FB" w:rsidRPr="00E043A0" w:rsidRDefault="00610538">
      <w:pPr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Результат надання послуги: 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проведено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офлайн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-тренінг із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 для представників органів місцевого самоврядування, Бучанської Агенції регіонального розвитку та місцевих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стейкхолдерів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Бучанської громади, що складався з 3 на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вчальних модулів і поєднував теоретичну та практичну частини. Учасники:</w:t>
      </w:r>
    </w:p>
    <w:p w:rsidR="005D54FB" w:rsidRPr="00E043A0" w:rsidRDefault="00610538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отримали знання щодо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циклу, вимог до підготовки грантових заявок, принципів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фандрейзингу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та роботи з донорами;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D54FB" w:rsidRPr="00E043A0" w:rsidRDefault="0061053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опанували інструменти управління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проєктами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D54FB" w:rsidRPr="00E043A0" w:rsidRDefault="0061053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відпрацювали нав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ички складання заявок, формування бюджету, планування реалізації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проєкту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D54FB" w:rsidRPr="00E043A0" w:rsidRDefault="00610538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підвищили рівень готовності громади до залучення грантового фінансування, ефективного використання ресурсів та налагодження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партнерств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D54FB" w:rsidRPr="00E043A0" w:rsidRDefault="00610538">
      <w:pPr>
        <w:spacing w:after="1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Опис компоненту “Супровід громади в розробці</w:t>
      </w: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2 </w:t>
      </w:r>
      <w:proofErr w:type="spellStart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 xml:space="preserve"> заявок”</w:t>
      </w:r>
    </w:p>
    <w:p w:rsidR="005D54FB" w:rsidRPr="00E043A0" w:rsidRDefault="00610538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Завдання: Надати експертний супровід представникам органів місцевого самоврядування, Бучанської Агенції регіонального розвитку та інших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стейкхолдерів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Бучанської громади у процесі розробки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заявок, визначених громадою як пріо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ритетні. Супровід має забезпечити практичне застосування знань, отриманих під час тренінгу з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менеджменту, і включати консультаційну, методичну та технічну підтримку на всіх етапах підготовки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заявок.</w:t>
      </w:r>
    </w:p>
    <w:p w:rsidR="005D54FB" w:rsidRPr="00E043A0" w:rsidRDefault="00610538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Супровід може здійснюватися в онлайн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форматі.</w:t>
      </w:r>
    </w:p>
    <w:p w:rsidR="005D54FB" w:rsidRPr="00E043A0" w:rsidRDefault="00610538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Мета надання послуги:</w:t>
      </w: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забезпечити практичну підтримку громади у розробці якісних, структурованих і конкурентоспроможних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заявок, готових до подання на фінансування.</w:t>
      </w:r>
    </w:p>
    <w:p w:rsidR="005D54FB" w:rsidRPr="00E043A0" w:rsidRDefault="00610538">
      <w:pPr>
        <w:spacing w:before="240" w:after="24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Результат надання послуги:</w:t>
      </w:r>
    </w:p>
    <w:p w:rsidR="005D54FB" w:rsidRPr="00E043A0" w:rsidRDefault="00610538">
      <w:pPr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надано експертний супровід у розробці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заявок, визначених громадою як пріоритетні;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D54FB" w:rsidRPr="00E043A0" w:rsidRDefault="00610538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сформовано логічну структуру кожного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проєкту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(проблема, мета, завдання, очікувані результати, показники ефективності, план дій, бюджет, партнерства, ризики, моні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торинг і оцінка);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5D54FB" w:rsidRPr="00E043A0" w:rsidRDefault="00610538">
      <w:pPr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представники громади отримали практичний досвід командної роботи над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проєктами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, закріпили навички, набуті під час тренінгу, та підвищили рівень самостійності у плануванні та розробці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розвитку громади.</w:t>
      </w:r>
    </w:p>
    <w:p w:rsidR="005D54FB" w:rsidRPr="00E043A0" w:rsidRDefault="005D54FB">
      <w:pPr>
        <w:spacing w:before="240" w:after="240"/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Умови співпраці:</w:t>
      </w:r>
    </w:p>
    <w:p w:rsidR="005D54FB" w:rsidRPr="00E043A0" w:rsidRDefault="00610538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Учасником тендеру є ФОП</w:t>
      </w:r>
      <w:r w:rsidR="005C6AE2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(3 група) </w:t>
      </w:r>
      <w:bookmarkStart w:id="2" w:name="_GoBack"/>
      <w:bookmarkEnd w:id="2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5D54FB" w:rsidRPr="00E043A0" w:rsidRDefault="00610538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Всі розрахунк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и здійснюються виключно у національній валюті України (гривні)</w:t>
      </w: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 Акт викона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них робіт має бути поданий кожного місяця, протягом 7 днів станом на перше число кожного місяця відповідно до обсягу наданих послуг за звітний період.</w:t>
      </w:r>
    </w:p>
    <w:p w:rsidR="005D54FB" w:rsidRPr="00E043A0" w:rsidRDefault="00610538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ідповідність.</w:t>
      </w:r>
    </w:p>
    <w:p w:rsidR="005D54FB" w:rsidRPr="00E043A0" w:rsidRDefault="00610538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: tender@r2p.org.ua.</w:t>
      </w: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Учасник не має перебувати в процесі припинення діяльності ФОП.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sz w:val="20"/>
          <w:szCs w:val="20"/>
        </w:rPr>
        <w:t>Вимоги до виконавця:</w:t>
      </w:r>
    </w:p>
    <w:p w:rsidR="005D54FB" w:rsidRPr="00E043A0" w:rsidRDefault="006105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досвід розробки та подання грантових заявок, успішного залучення грантового та інвестиційного фінансування для громад;</w:t>
      </w:r>
    </w:p>
    <w:p w:rsidR="005D54FB" w:rsidRPr="00E043A0" w:rsidRDefault="006105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досвід проведення тренінгів чи 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навчальних програм із тематики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проєктного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менеджменту,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фандрейзингу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, підготовки та реалізації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заявок;</w:t>
      </w:r>
    </w:p>
    <w:p w:rsidR="005D54FB" w:rsidRPr="00E043A0" w:rsidRDefault="006105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досвід співпраці з міжнародними донорами, благодійними фондами та бізнесом у рамках соціальних чи інвестиційних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проєктів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D54FB" w:rsidRPr="00E043A0" w:rsidRDefault="006105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досвід роботи та взаєм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>одії з органами державної влади та місцевого самоврядування;</w:t>
      </w:r>
    </w:p>
    <w:p w:rsidR="005D54FB" w:rsidRPr="00E043A0" w:rsidRDefault="006105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досвід керування місцевою інституцією розвитку міста/громади буде перевагою;</w:t>
      </w:r>
    </w:p>
    <w:p w:rsidR="005D54FB" w:rsidRPr="00E043A0" w:rsidRDefault="0061053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готовність до поїздок у межах визначеної території.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Просимо надати пропозицію, яка включатиме:</w:t>
      </w:r>
    </w:p>
    <w:p w:rsidR="005D54FB" w:rsidRPr="00E043A0" w:rsidRDefault="005D54F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eading=h.2et92p0" w:colFirst="0" w:colLast="0"/>
      <w:bookmarkEnd w:id="3"/>
      <w:r w:rsidRPr="00E043A0">
        <w:rPr>
          <w:rFonts w:ascii="Times New Roman" w:eastAsia="Times New Roman" w:hAnsi="Times New Roman" w:cs="Times New Roman"/>
          <w:sz w:val="20"/>
          <w:szCs w:val="20"/>
        </w:rPr>
        <w:t>Технічну пропозицію, яка складена українською мовою та містить наступні компоненти: опис концепції проведення тренінгу, перелік практичних завдань для надання учасникам тренінгу, методологія та очікувані результати, а також опис концепції супроводу громади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в розробці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заявок;</w:t>
      </w:r>
    </w:p>
    <w:p w:rsidR="005D54FB" w:rsidRPr="00E043A0" w:rsidRDefault="00610538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Деталізоване резюме (щонайменше за останні 5 років) з зазначенням кваліфікації, кількості років досвіду роботи у відповідній тематиці, досвідом проведення бізнес-тренінгів, в тому числі досвід у проведенні тренінгів на зазна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чену тематику, досвід співпраці з благодійними фондами, неурядовими організаціями або соціальними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проєктами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, досвід ведення бізнесу, управління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проєктами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та командами, досвід керування місцевою інституцією розвитку міста/громади;</w:t>
      </w:r>
    </w:p>
    <w:p w:rsidR="005D54FB" w:rsidRPr="00E043A0" w:rsidRDefault="00610538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lastRenderedPageBreak/>
        <w:t>Детальну програму тренінгу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 зазначеної тематики;</w:t>
      </w:r>
    </w:p>
    <w:p w:rsidR="005D54FB" w:rsidRPr="00E043A0" w:rsidRDefault="00610538">
      <w:pPr>
        <w:widowControl w:val="0"/>
        <w:numPr>
          <w:ilvl w:val="0"/>
          <w:numId w:val="2"/>
        </w:numPr>
        <w:spacing w:before="40" w:line="257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Документи, фото/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скріни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 соцмереж або сайтів; контакти для рекомендацій, які підтверджують досвід із зазначеної тематики;</w:t>
      </w:r>
    </w:p>
    <w:p w:rsidR="005D54FB" w:rsidRPr="00E043A0" w:rsidRDefault="00610538">
      <w:pPr>
        <w:widowControl w:val="0"/>
        <w:numPr>
          <w:ilvl w:val="0"/>
          <w:numId w:val="2"/>
        </w:numPr>
        <w:spacing w:before="40" w:after="160" w:line="257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5D54FB" w:rsidRPr="00E043A0" w:rsidRDefault="0061053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sz w:val="20"/>
          <w:szCs w:val="20"/>
        </w:rPr>
        <w:t>Також,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просимо надати </w:t>
      </w:r>
      <w:r w:rsidRPr="00E043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цінову пропозицію</w:t>
      </w:r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, у якій зазначено вартість тренінгу, включаючи за необхідності усі роздаткові матеріали, а також вартість супроводу громади в розробці 2 </w:t>
      </w:r>
      <w:proofErr w:type="spellStart"/>
      <w:r w:rsidRPr="00E043A0">
        <w:rPr>
          <w:rFonts w:ascii="Times New Roman" w:eastAsia="Times New Roman" w:hAnsi="Times New Roman" w:cs="Times New Roman"/>
          <w:sz w:val="20"/>
          <w:szCs w:val="20"/>
        </w:rPr>
        <w:t>проєктних</w:t>
      </w:r>
      <w:proofErr w:type="spellEnd"/>
      <w:r w:rsidRPr="00E043A0">
        <w:rPr>
          <w:rFonts w:ascii="Times New Roman" w:eastAsia="Times New Roman" w:hAnsi="Times New Roman" w:cs="Times New Roman"/>
          <w:sz w:val="20"/>
          <w:szCs w:val="20"/>
        </w:rPr>
        <w:t xml:space="preserve"> заявок. </w:t>
      </w:r>
    </w:p>
    <w:p w:rsidR="005D54FB" w:rsidRPr="00E043A0" w:rsidRDefault="005D54FB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spacing w:before="40" w:after="60" w:line="25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1x9ydhbqpky1" w:colFirst="0" w:colLast="0"/>
      <w:bookmarkEnd w:id="4"/>
      <w:r w:rsidRPr="00E043A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Оплата за проїзд, проживання, добові - не передбачені.  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Пропозиція повинна бути складена 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українською мовою</w:t>
      </w:r>
      <w:r w:rsidRPr="00E043A0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</w:p>
    <w:p w:rsidR="005D54FB" w:rsidRPr="00E043A0" w:rsidRDefault="005D54F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54FB" w:rsidRPr="00E043A0" w:rsidRDefault="00610538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043A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Оцінювання тендерних пропозицій буде складатися на 70% з оцінки технічних пропозицій та на 30% з оцінки цінових пропозицій.</w:t>
      </w:r>
    </w:p>
    <w:p w:rsidR="005D54FB" w:rsidRPr="00E043A0" w:rsidRDefault="005D54FB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632" w:type="dxa"/>
        <w:tblInd w:w="-8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560"/>
        <w:gridCol w:w="7371"/>
        <w:gridCol w:w="1276"/>
      </w:tblGrid>
      <w:tr w:rsidR="005D54FB" w:rsidRPr="00E043A0" w:rsidTr="00E043A0">
        <w:trPr>
          <w:trHeight w:val="227"/>
        </w:trPr>
        <w:tc>
          <w:tcPr>
            <w:tcW w:w="106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ШКАЛА ОЦІНКИ ТЕХНІЧНИХ ВИМОГ</w:t>
            </w:r>
          </w:p>
        </w:tc>
      </w:tr>
      <w:tr w:rsidR="005D54FB" w:rsidRPr="00E043A0" w:rsidTr="00E043A0">
        <w:trPr>
          <w:trHeight w:val="669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5D54FB" w:rsidRPr="00E043A0" w:rsidTr="00E043A0">
        <w:trPr>
          <w:trHeight w:val="2663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Практичний досвід у проведенні тренінгів з зазначеної тематики </w:t>
            </w:r>
          </w:p>
          <w:p w:rsidR="005D54FB" w:rsidRPr="00E043A0" w:rsidRDefault="005D54FB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15 балів: Кандидат має підтверджений досвід проведення тренінгів за останні 5 років саме з тематики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проєктного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 менеджменту,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фандрейзингу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 та підготовки грантових заявок для ОМС; надав приклади проведених тренінгів, наявні відгуки/рекомендації або результати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 оцінювання ефективності тренінгів..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10 балів: Кандидат має підтверджений досвід проведення тренінгів за останні 3 роки з вказаної тематики, наявні підтвердження (сертифікати, відгуки).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5 балів: Кандидат має підтверджений досвід проведення тренінгів 1-3 роки, інформація про досвід наведена без конкретики.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0 балів: Кандидат не має досвіду проведення тренінгів із зазначеної тематики.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D54FB" w:rsidRPr="00E043A0" w:rsidTr="00E043A0">
        <w:trPr>
          <w:trHeight w:val="2663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Деталізоване резюме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10 балів: Демонстрація вичерпної та структурованої інформації у ключових сферах та завданнях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Резюме містить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 інформацію щонайменше за 5 останніх років діяльності. Кандидат надіслав документи, які підтверджують досвід співпраці з благодійними фондами або іншими НГО (наприклад, листи,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скріни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, фотографії, офіційні договори).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7 балів: Демонстрація узагальненої інфор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мації у ключових сферах та завданнях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напрацювання. Резюме містить інформацію щонайменше за 5 останні роки діяльності. Кандидат надіслав докумен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ти, які частково підтверджують досвід співпраці з благодійними фондами або іншими НГО (наприклад, листи,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скріни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, фотографії, офіційні договори).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3 бали: Надано резюме з відсутністю актуального досвіду за останні 5 років у сферах та завданнях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, але в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ідображено існуючий у виконавця попередній досвід виконання подібних завдань. Кандидат вказав про наявність досвіду співпраці з благодійними фондами або іншими НГО, але не надав підтвердження (наприклад, листи,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скріни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, фотографії, офіційні договори).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0 бал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ів: У резюме немає інформації про проведення тренінгів з релевантної тематики. Кандидат не має досвіду співпраці з благодійними фондами або іншими НГО.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54FB" w:rsidRPr="00E043A0" w:rsidTr="00E043A0">
        <w:trPr>
          <w:trHeight w:val="3760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Досвід керування інституцією розвитку міста/громади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15 балів: Кандидат має підтверджений досвід керівництва або координації роботи інституцій розвитку міста/громади (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проєктні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 офіси, Агенції розвитку) протягом 3 і більше років; надає приклади реалізованих ініціатив та проектів, є підтвердження ефективності у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правлінської діяльності (звіти, рекомендації, кейси).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 xml:space="preserve">10 балів: Кандидат має досвід керівництва або координації роботи інституцій розвитку міста/громади протягом 1-3 років; наявні підтвердження досвіду (сертифікати, листи підтримки, звіти про реалізацію </w:t>
            </w:r>
            <w:proofErr w:type="spellStart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оєктів</w:t>
            </w:r>
            <w:proofErr w:type="spellEnd"/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5 балів: Кандидат має досвід роботи на керівних або координуючих посадах у інституціях розвитку громади протягом 1-3 років; інформація про досвід наведена узагальнено, без конкретних результатів.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0 балів: Кандидат не має досвіду керівництва або координації роботи інституцій розвитку міста/громади.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D54FB" w:rsidRPr="00E043A0" w:rsidTr="00E043A0">
        <w:trPr>
          <w:trHeight w:val="2295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5D54F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54FB" w:rsidRPr="00E043A0" w:rsidRDefault="00610538">
            <w:pPr>
              <w:widowControl w:val="0"/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Програма тренінгу з зазначеної теми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10 балів: Надані матеріали повністю відображають зміст тренінгу, включно з теоретичною частиною та практичними завданнями; структура матеріалів логічна та дозволяє чітко уявити програму та послідовність проведення тренінгу.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7 балів: Надані матеріали відобр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ажають зміст тренінгу, але частково; присутня теоретична інформація та деякі практичні завдання, проте структура або деталізація матеріалів обмежена.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3 бали: Надані матеріали відображають лише частину змісту тренінгу, переважно теоретичну, практичні завдан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ня відсутні або наведені поверхнево; структура матеріалів слабко демонструє логіку проведення тренінгу.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0 балів: Жодних матеріалів не надано або надані матеріали не відповідають заявленій тематиці тренінгу.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D54FB" w:rsidRPr="00E043A0" w:rsidTr="00E043A0">
        <w:trPr>
          <w:trHeight w:val="3015"/>
        </w:trPr>
        <w:tc>
          <w:tcPr>
            <w:tcW w:w="4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D54FB" w:rsidRPr="00E043A0" w:rsidRDefault="00610538">
            <w:pPr>
              <w:widowControl w:val="0"/>
              <w:spacing w:after="8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Співбесіда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20 балів: Кандидат вчасно долучився до зустрічі, добре ознайомлений із предметом тендерного оголошення, чітко дає конкретні відповіді на всі запитання, демонструє повне розуміння теми та повністю поділяє цінності Фонду.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15 балів: Кандидат долучився до зустрічі, ознайомлений із предметом тендерного оголошення, дає переважно конкретні відповіді на питання, але окремі моменти потребують уточнення; кандидат у більшості поділяє цінності Фонду.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10 балів: Кандидат долучився до з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устрічі, поверхнево ознайомлений із предметом тендерного оголошення, відповіді на питання носять узагальнений характер, без конкретики; кандидат частково поділяє цінності Фонду.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5 балів: Кандидат долучився до зустрічі, обмежено ознайомлений із предметом те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ндерного оголошення, відповіді на питання не повні та не завжди логічні; кандидат частково розуміє цінності Фонду.</w:t>
            </w:r>
          </w:p>
          <w:p w:rsidR="005D54FB" w:rsidRPr="00E043A0" w:rsidRDefault="00610538" w:rsidP="00E043A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0 балів: Кандидат не долучився до зустрічі, або не володіє інформацією про предмет тендерного оголошення, або не може відповісти на питання п</w:t>
            </w:r>
            <w:r w:rsidRPr="00E043A0">
              <w:rPr>
                <w:rFonts w:ascii="Times New Roman" w:hAnsi="Times New Roman" w:cs="Times New Roman"/>
                <w:sz w:val="20"/>
                <w:szCs w:val="20"/>
              </w:rPr>
              <w:t>о темі; кандидат не демонструє розуміння цінностей Фонду.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D54FB" w:rsidRPr="00E043A0" w:rsidRDefault="00610538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43A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</w:tbl>
    <w:p w:rsidR="005D54FB" w:rsidRPr="00E043A0" w:rsidRDefault="005D54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54FB" w:rsidRPr="00E043A0" w:rsidRDefault="0061053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E043A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 </w:t>
      </w:r>
    </w:p>
    <w:sectPr w:rsidR="005D54FB" w:rsidRPr="00E043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506B"/>
    <w:multiLevelType w:val="multilevel"/>
    <w:tmpl w:val="B7FE1C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4052D"/>
    <w:multiLevelType w:val="multilevel"/>
    <w:tmpl w:val="6908E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165D2809"/>
    <w:multiLevelType w:val="multilevel"/>
    <w:tmpl w:val="43B4A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902014"/>
    <w:multiLevelType w:val="multilevel"/>
    <w:tmpl w:val="B7607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5B3409"/>
    <w:multiLevelType w:val="multilevel"/>
    <w:tmpl w:val="142C5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376ED7"/>
    <w:multiLevelType w:val="multilevel"/>
    <w:tmpl w:val="ED22B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FB"/>
    <w:rsid w:val="005C6AE2"/>
    <w:rsid w:val="005D54FB"/>
    <w:rsid w:val="00610538"/>
    <w:rsid w:val="00E0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5DE0"/>
  <w15:docId w15:val="{C72F7E76-9575-4192-BAC6-1AED1AF8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04560C"/>
    <w:pPr>
      <w:ind w:left="720"/>
      <w:contextualSpacing/>
    </w:pPr>
  </w:style>
  <w:style w:type="paragraph" w:styleId="a5">
    <w:name w:val="Normal (Web)"/>
    <w:uiPriority w:val="99"/>
    <w:unhideWhenUsed/>
    <w:rsid w:val="00061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No Spacing"/>
    <w:uiPriority w:val="1"/>
    <w:qFormat/>
    <w:rsid w:val="00E043A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WJfDXbk12XCiRg7HJtxgKRfVw==">CgMxLjAyCWguMmV0OTJwMDIOaC4xeDl5ZGhicXBreTE4AHIhMUZIanlmOUdGWmVaVTNSa1Zwc1MxWDhFbm4yOXdabEJU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8940</Words>
  <Characters>5097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2024-02-12T11:54:00Z</dcterms:created>
  <dcterms:modified xsi:type="dcterms:W3CDTF">2025-10-22T09:50:00Z</dcterms:modified>
</cp:coreProperties>
</file>