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ind w:firstLine="72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Технічне завдання для закупівлі послуги </w:t>
      </w:r>
    </w:p>
    <w:p w:rsidR="00000000" w:rsidDel="00000000" w:rsidP="00000000" w:rsidRDefault="00000000" w:rsidRPr="00000000" w14:paraId="00000002">
      <w:pPr>
        <w:widowControl w:val="0"/>
        <w:spacing w:after="0" w:lineRule="auto"/>
        <w:jc w:val="center"/>
        <w:rPr>
          <w:rFonts w:ascii="Times New Roman" w:cs="Times New Roman" w:eastAsia="Times New Roman" w:hAnsi="Times New Roman"/>
          <w:b w:val="1"/>
          <w:bCs w:val="1"/>
          <w:color w:val="1e1e4b"/>
          <w:sz w:val="20"/>
          <w:szCs w:val="20"/>
        </w:rPr>
      </w:pPr>
      <w:r w:rsidDel="00000000" w:rsidR="00000000" w:rsidRPr="00000000">
        <w:rPr>
          <w:rFonts w:ascii="Times New Roman" w:cs="Times New Roman" w:eastAsia="Times New Roman" w:hAnsi="Times New Roman"/>
          <w:b w:val="1"/>
          <w:bCs w:val="1"/>
          <w:sz w:val="20"/>
          <w:szCs w:val="20"/>
          <w:rtl w:val="0"/>
        </w:rPr>
        <w:t xml:space="preserve">з дистанційного короткострокового навчання за курсом SMM-спеціаліст</w:t>
      </w:r>
      <w:r w:rsidDel="00000000" w:rsidR="00000000" w:rsidRPr="00000000">
        <w:rPr>
          <w:rtl w:val="0"/>
        </w:rPr>
      </w:r>
    </w:p>
    <w:p w:rsidR="00000000" w:rsidDel="00000000" w:rsidP="00000000" w:rsidRDefault="00000000" w:rsidRPr="00000000" w14:paraId="00000003">
      <w:pPr>
        <w:widowControl w:val="0"/>
        <w:spacing w:after="0" w:lineRule="auto"/>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b w:val="1"/>
          <w:bCs w:val="1"/>
          <w:sz w:val="20"/>
          <w:szCs w:val="20"/>
          <w:rtl w:val="0"/>
        </w:rPr>
        <w:t xml:space="preserve"> від Благодійного Фонду “Право на Захист”</w:t>
      </w:r>
      <w:r w:rsidDel="00000000" w:rsidR="00000000" w:rsidRPr="00000000">
        <w:rPr>
          <w:rtl w:val="0"/>
        </w:rPr>
      </w:r>
    </w:p>
    <w:p w:rsidR="00000000" w:rsidDel="00000000" w:rsidP="00000000" w:rsidRDefault="00000000" w:rsidRPr="00000000" w14:paraId="00000004">
      <w:pPr>
        <w:widowControl w:val="0"/>
        <w:spacing w:after="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05">
      <w:pPr>
        <w:spacing w:after="0" w:line="27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Благодійна організація «БЛАГОДІЙНИЙ ФОНД «ПРАВО НА ЗАХИСТ» запрошує до участі в тендері на закупівлю послуги </w:t>
      </w:r>
      <w:r w:rsidDel="00000000" w:rsidR="00000000" w:rsidRPr="00000000">
        <w:rPr>
          <w:rFonts w:ascii="Times New Roman" w:cs="Times New Roman" w:eastAsia="Times New Roman" w:hAnsi="Times New Roman"/>
          <w:b w:val="1"/>
          <w:bCs w:val="1"/>
          <w:sz w:val="20"/>
          <w:szCs w:val="20"/>
          <w:rtl w:val="0"/>
        </w:rPr>
        <w:t xml:space="preserve">з дистанційного короткострокового навчання за курсом SMM-спеціаліст</w:t>
      </w:r>
      <w:r w:rsidDel="00000000" w:rsidR="00000000" w:rsidRPr="00000000">
        <w:rPr>
          <w:rFonts w:ascii="Times New Roman" w:cs="Times New Roman" w:eastAsia="Times New Roman" w:hAnsi="Times New Roman"/>
          <w:b w:val="1"/>
          <w:bCs w:val="1"/>
          <w:color w:val="1e1e4b"/>
          <w:sz w:val="20"/>
          <w:szCs w:val="20"/>
          <w:rtl w:val="0"/>
        </w:rPr>
        <w:t xml:space="preserve">.</w:t>
      </w:r>
      <w:r w:rsidDel="00000000" w:rsidR="00000000" w:rsidRPr="00000000">
        <w:rPr>
          <w:rtl w:val="0"/>
        </w:rPr>
      </w:r>
    </w:p>
    <w:p w:rsidR="00000000" w:rsidDel="00000000" w:rsidP="00000000" w:rsidRDefault="00000000" w:rsidRPr="00000000" w14:paraId="00000006">
      <w:pPr>
        <w:spacing w:after="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Формат</w:t>
      </w:r>
      <w:r w:rsidDel="00000000" w:rsidR="00000000" w:rsidRPr="00000000">
        <w:rPr>
          <w:rFonts w:ascii="Times New Roman" w:cs="Times New Roman" w:eastAsia="Times New Roman" w:hAnsi="Times New Roman"/>
          <w:sz w:val="20"/>
          <w:szCs w:val="20"/>
          <w:rtl w:val="0"/>
        </w:rPr>
        <w:t xml:space="preserve">: онлайн, у “живому” форматі.</w:t>
      </w:r>
    </w:p>
    <w:p w:rsidR="00000000" w:rsidDel="00000000" w:rsidP="00000000" w:rsidRDefault="00000000" w:rsidRPr="00000000" w14:paraId="00000008">
      <w:pPr>
        <w:spacing w:after="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Дати надання послуг</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01.05.2026р. - 30.12.2026р. </w:t>
      </w:r>
      <w:r w:rsidDel="00000000" w:rsidR="00000000" w:rsidRPr="00000000">
        <w:rPr>
          <w:rFonts w:ascii="Times New Roman" w:cs="Times New Roman" w:eastAsia="Times New Roman" w:hAnsi="Times New Roman"/>
          <w:sz w:val="20"/>
          <w:szCs w:val="20"/>
          <w:rtl w:val="0"/>
        </w:rPr>
        <w:t xml:space="preserve">(точні дати проведення навчання будуть узгоджуватись додатково).</w:t>
      </w:r>
    </w:p>
    <w:p w:rsidR="00000000" w:rsidDel="00000000" w:rsidP="00000000" w:rsidRDefault="00000000" w:rsidRPr="00000000" w14:paraId="0000000A">
      <w:pPr>
        <w:spacing w:after="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Географія учасників проєкту: </w:t>
      </w:r>
      <w:r w:rsidDel="00000000" w:rsidR="00000000" w:rsidRPr="00000000">
        <w:rPr>
          <w:rFonts w:ascii="Times New Roman" w:cs="Times New Roman" w:eastAsia="Times New Roman" w:hAnsi="Times New Roman"/>
          <w:sz w:val="20"/>
          <w:szCs w:val="20"/>
          <w:rtl w:val="0"/>
        </w:rPr>
        <w:t xml:space="preserve">Громади Бучанського району Київської області. </w:t>
      </w:r>
      <w:r w:rsidDel="00000000" w:rsidR="00000000" w:rsidRPr="00000000">
        <w:rPr>
          <w:rFonts w:ascii="Times New Roman" w:cs="Times New Roman" w:eastAsia="Times New Roman" w:hAnsi="Times New Roman"/>
          <w:b w:val="1"/>
          <w:bCs w:val="1"/>
          <w:sz w:val="20"/>
          <w:szCs w:val="20"/>
          <w:u w:val="single"/>
          <w:rtl w:val="0"/>
        </w:rPr>
        <w:br w:type="textWrapping"/>
        <w:br w:type="textWrapping"/>
      </w:r>
      <w:r w:rsidDel="00000000" w:rsidR="00000000" w:rsidRPr="00000000">
        <w:rPr>
          <w:rFonts w:ascii="Times New Roman" w:cs="Times New Roman" w:eastAsia="Times New Roman" w:hAnsi="Times New Roman"/>
          <w:b w:val="1"/>
          <w:bCs w:val="1"/>
          <w:sz w:val="20"/>
          <w:szCs w:val="20"/>
          <w:rtl w:val="0"/>
        </w:rPr>
        <w:t xml:space="preserve">Завдання:</w:t>
      </w:r>
      <w:r w:rsidDel="00000000" w:rsidR="00000000" w:rsidRPr="00000000">
        <w:rPr>
          <w:rFonts w:ascii="Times New Roman" w:cs="Times New Roman" w:eastAsia="Times New Roman" w:hAnsi="Times New Roman"/>
          <w:sz w:val="20"/>
          <w:szCs w:val="20"/>
          <w:rtl w:val="0"/>
        </w:rPr>
        <w:t xml:space="preserve"> Провести для жителів громад Бучанського району Київської області дистанційний короткостроковий навчальний курс “SMM-спеціаліст”, який включає в себе практичні та теоретичні навички у сфері соціальних медіа та цифрового маркетингу для осіб, які бажають здобути нову професію або підвищити кваліфікацію в цій сфері. </w:t>
      </w:r>
    </w:p>
    <w:p w:rsidR="00000000" w:rsidDel="00000000" w:rsidP="00000000" w:rsidRDefault="00000000" w:rsidRPr="00000000" w14:paraId="0000000C">
      <w:pPr>
        <w:spacing w:after="12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Надавач послуги має створити групу з учасниками навчання в месенджері для оперативної комунікації з учасниками навчання. </w:t>
      </w:r>
    </w:p>
    <w:p w:rsidR="00000000" w:rsidDel="00000000" w:rsidP="00000000" w:rsidRDefault="00000000" w:rsidRPr="00000000" w14:paraId="0000000D">
      <w:pPr>
        <w:spacing w:after="12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Навчання має бути спрямоване на розвиток професійних навичок, а також на підготовку кваліфікованих спеціалістів, здатних адаптуватися до вимог ринку праці у відповідній сфері. </w:t>
      </w:r>
    </w:p>
    <w:p w:rsidR="00000000" w:rsidDel="00000000" w:rsidP="00000000" w:rsidRDefault="00000000" w:rsidRPr="00000000" w14:paraId="0000000E">
      <w:pPr>
        <w:spacing w:after="12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Навчання має поєднувати надання теоретичного матеріалу та практичного відпрацювання навичок у співвідношенні 30% / 70%. </w:t>
      </w:r>
    </w:p>
    <w:p w:rsidR="00000000" w:rsidDel="00000000" w:rsidP="00000000" w:rsidRDefault="00000000" w:rsidRPr="00000000" w14:paraId="0000000F">
      <w:pPr>
        <w:spacing w:after="12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Після навчального модуля має бути надано домашнє завдання учасникам навчання для закріплення теми модуля та практичного відпрацювання.</w:t>
      </w:r>
    </w:p>
    <w:p w:rsidR="00000000" w:rsidDel="00000000" w:rsidP="00000000" w:rsidRDefault="00000000" w:rsidRPr="00000000" w14:paraId="00000010">
      <w:pPr>
        <w:spacing w:after="12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 завершенню навчання передбачається, що учасники отримають сертифікат про проходження навчання. </w:t>
      </w:r>
    </w:p>
    <w:p w:rsidR="00000000" w:rsidDel="00000000" w:rsidP="00000000" w:rsidRDefault="00000000" w:rsidRPr="00000000" w14:paraId="00000011">
      <w:pPr>
        <w:spacing w:after="12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Навчання має складатися з не менше ніж 30 академічних годин. </w:t>
      </w:r>
    </w:p>
    <w:p w:rsidR="00000000" w:rsidDel="00000000" w:rsidP="00000000" w:rsidRDefault="00000000" w:rsidRPr="00000000" w14:paraId="00000012">
      <w:pPr>
        <w:spacing w:after="12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Тривалість 1 навчального курсу має складатися не більше 3 місяців. Розклад навчання має бути погоджений з замовником послуги.  </w:t>
      </w:r>
    </w:p>
    <w:p w:rsidR="00000000" w:rsidDel="00000000" w:rsidP="00000000" w:rsidRDefault="00000000" w:rsidRPr="00000000" w14:paraId="00000013">
      <w:pPr>
        <w:spacing w:after="12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Орієнтовна кількість учасників 1 навчальної групи - 15-20 людей.</w:t>
      </w:r>
    </w:p>
    <w:p w:rsidR="00000000" w:rsidDel="00000000" w:rsidP="00000000" w:rsidRDefault="00000000" w:rsidRPr="00000000" w14:paraId="00000014">
      <w:pPr>
        <w:spacing w:after="12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Кількість навчальних груп - 3 групи, які у разі набрання такої кількості, можуть навчатися паралельно, або по мірі формування груп. Але точна кількість навчальних груп може бути змінено, що залежатиме від наявності запиту мешканців громад Бучанського району Київської області.</w:t>
      </w:r>
    </w:p>
    <w:p w:rsidR="00000000" w:rsidDel="00000000" w:rsidP="00000000" w:rsidRDefault="00000000" w:rsidRPr="00000000" w14:paraId="00000015">
      <w:pPr>
        <w:widowControl w:val="0"/>
        <w:spacing w:after="0" w:lineRule="auto"/>
        <w:jc w:val="both"/>
        <w:rPr>
          <w:rFonts w:ascii="Times New Roman" w:cs="Times New Roman" w:eastAsia="Times New Roman" w:hAnsi="Times New Roman"/>
          <w:sz w:val="20"/>
          <w:szCs w:val="20"/>
        </w:rPr>
      </w:pPr>
      <w:bookmarkStart w:colFirst="0" w:colLast="0" w:name="_heading=h.1fob9te" w:id="0"/>
      <w:bookmarkEnd w:id="0"/>
      <w:r w:rsidDel="00000000" w:rsidR="00000000" w:rsidRPr="00000000">
        <w:rPr>
          <w:rFonts w:ascii="Times New Roman" w:cs="Times New Roman" w:eastAsia="Times New Roman" w:hAnsi="Times New Roman"/>
          <w:b w:val="1"/>
          <w:bCs w:val="1"/>
          <w:sz w:val="20"/>
          <w:szCs w:val="20"/>
          <w:rtl w:val="0"/>
        </w:rPr>
        <w:t xml:space="preserve">Цільова аудиторія: </w:t>
      </w:r>
      <w:r w:rsidDel="00000000" w:rsidR="00000000" w:rsidRPr="00000000">
        <w:rPr>
          <w:rFonts w:ascii="Times New Roman" w:cs="Times New Roman" w:eastAsia="Times New Roman" w:hAnsi="Times New Roman"/>
          <w:sz w:val="20"/>
          <w:szCs w:val="20"/>
          <w:rtl w:val="0"/>
        </w:rPr>
        <w:t xml:space="preserve">Жителі громад Бучанського району Київської області, які підпадають щонайменше під один з критеріїв: </w:t>
      </w:r>
    </w:p>
    <w:p w:rsidR="00000000" w:rsidDel="00000000" w:rsidP="00000000" w:rsidRDefault="00000000" w:rsidRPr="00000000" w14:paraId="00000016">
      <w:pPr>
        <w:widowControl w:val="0"/>
        <w:numPr>
          <w:ilvl w:val="0"/>
          <w:numId w:val="2"/>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ВПО;</w:t>
      </w:r>
    </w:p>
    <w:p w:rsidR="00000000" w:rsidDel="00000000" w:rsidP="00000000" w:rsidRDefault="00000000" w:rsidRPr="00000000" w14:paraId="00000017">
      <w:pPr>
        <w:widowControl w:val="0"/>
        <w:numPr>
          <w:ilvl w:val="0"/>
          <w:numId w:val="2"/>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одинокі / багатодітні батьки;</w:t>
      </w:r>
    </w:p>
    <w:p w:rsidR="00000000" w:rsidDel="00000000" w:rsidP="00000000" w:rsidRDefault="00000000" w:rsidRPr="00000000" w14:paraId="00000018">
      <w:pPr>
        <w:widowControl w:val="0"/>
        <w:numPr>
          <w:ilvl w:val="0"/>
          <w:numId w:val="2"/>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особи з інвалідністю;</w:t>
      </w:r>
    </w:p>
    <w:p w:rsidR="00000000" w:rsidDel="00000000" w:rsidP="00000000" w:rsidRDefault="00000000" w:rsidRPr="00000000" w14:paraId="00000019">
      <w:pPr>
        <w:widowControl w:val="0"/>
        <w:numPr>
          <w:ilvl w:val="0"/>
          <w:numId w:val="2"/>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постраждалі від воєнних дій;</w:t>
      </w:r>
    </w:p>
    <w:p w:rsidR="00000000" w:rsidDel="00000000" w:rsidP="00000000" w:rsidRDefault="00000000" w:rsidRPr="00000000" w14:paraId="0000001A">
      <w:pPr>
        <w:widowControl w:val="0"/>
        <w:numPr>
          <w:ilvl w:val="0"/>
          <w:numId w:val="2"/>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інші вразливі категорії. </w:t>
      </w:r>
    </w:p>
    <w:p w:rsidR="00000000" w:rsidDel="00000000" w:rsidP="00000000" w:rsidRDefault="00000000" w:rsidRPr="00000000" w14:paraId="0000001B">
      <w:pPr>
        <w:spacing w:after="0" w:line="276"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C">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Мета надання послуги:</w:t>
      </w:r>
      <w:r w:rsidDel="00000000" w:rsidR="00000000" w:rsidRPr="00000000">
        <w:rPr>
          <w:rFonts w:ascii="Times New Roman" w:cs="Times New Roman" w:eastAsia="Times New Roman" w:hAnsi="Times New Roman"/>
          <w:sz w:val="20"/>
          <w:szCs w:val="20"/>
          <w:rtl w:val="0"/>
        </w:rPr>
        <w:t xml:space="preserve"> забезпечити вразливих жителів громад Бучанського району Київської області навчанням “SMM-спеціаліст” для посилення їхньої конкурентності на ринку праці та підвищення спроможності до подальшого працевлаштування.</w:t>
      </w:r>
    </w:p>
    <w:p w:rsidR="00000000" w:rsidDel="00000000" w:rsidP="00000000" w:rsidRDefault="00000000" w:rsidRPr="00000000" w14:paraId="0000001D">
      <w:pPr>
        <w:spacing w:after="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Результат надання послуги: с</w:t>
      </w:r>
      <w:r w:rsidDel="00000000" w:rsidR="00000000" w:rsidRPr="00000000">
        <w:rPr>
          <w:rFonts w:ascii="Times New Roman" w:cs="Times New Roman" w:eastAsia="Times New Roman" w:hAnsi="Times New Roman"/>
          <w:sz w:val="20"/>
          <w:szCs w:val="20"/>
          <w:rtl w:val="0"/>
        </w:rPr>
        <w:t xml:space="preserve">лухачі навчального курсу здобули практичні навички та теоретичні знання у вказаній сфері, що дозволить їм працевлаштуватися в подальшому. Ці навички підвищать їх здатність до самостійної роботи та допоможуть зайняти конкурентоспроможні позиції на ринку праці в даній сфері.</w:t>
      </w:r>
    </w:p>
    <w:p w:rsidR="00000000" w:rsidDel="00000000" w:rsidP="00000000" w:rsidRDefault="00000000" w:rsidRPr="00000000" w14:paraId="0000001F">
      <w:pPr>
        <w:spacing w:after="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spacing w:after="0" w:line="27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Умови співпраці:</w:t>
      </w:r>
    </w:p>
    <w:p w:rsidR="00000000" w:rsidDel="00000000" w:rsidP="00000000" w:rsidRDefault="00000000" w:rsidRPr="00000000" w14:paraId="00000021">
      <w:pPr>
        <w:spacing w:after="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22">
      <w:pPr>
        <w:spacing w:after="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w:t>
      </w:r>
    </w:p>
    <w:p w:rsidR="00000000" w:rsidDel="00000000" w:rsidP="00000000" w:rsidRDefault="00000000" w:rsidRPr="00000000" w14:paraId="00000023">
      <w:pPr>
        <w:spacing w:after="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24">
      <w:pPr>
        <w:spacing w:after="0" w:line="276"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у будь-який момент, але не пізніше як 1 (один)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7">
        <w:r w:rsidDel="00000000" w:rsidR="00000000" w:rsidRPr="00000000">
          <w:rPr>
            <w:rFonts w:ascii="Times New Roman" w:cs="Times New Roman" w:eastAsia="Times New Roman" w:hAnsi="Times New Roman"/>
            <w:color w:val="1155cc"/>
            <w:sz w:val="20"/>
            <w:szCs w:val="20"/>
            <w:u w:val="single"/>
            <w:rtl w:val="0"/>
          </w:rPr>
          <w:t xml:space="preserve">tender@r2p.org.ua</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5">
      <w:pPr>
        <w:spacing w:after="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не має перебувати в процесі припинення діяльності ФОП.</w:t>
      </w:r>
    </w:p>
    <w:p w:rsidR="00000000" w:rsidDel="00000000" w:rsidP="00000000" w:rsidRDefault="00000000" w:rsidRPr="00000000" w14:paraId="00000026">
      <w:pPr>
        <w:spacing w:after="200" w:line="276" w:lineRule="auto"/>
        <w:jc w:val="both"/>
        <w:rPr>
          <w:rFonts w:ascii="Times New Roman" w:cs="Times New Roman" w:eastAsia="Times New Roman" w:hAnsi="Times New Roman"/>
          <w:b w:val="1"/>
          <w:bCs w:val="1"/>
          <w:sz w:val="20"/>
          <w:szCs w:val="20"/>
        </w:rPr>
      </w:pPr>
      <w:bookmarkStart w:colFirst="0" w:colLast="0" w:name="_heading=h.za6pxll1pvmo" w:id="1"/>
      <w:bookmarkEnd w:id="1"/>
      <w:r w:rsidDel="00000000" w:rsidR="00000000" w:rsidRPr="00000000">
        <w:rPr>
          <w:rtl w:val="0"/>
        </w:rPr>
      </w:r>
    </w:p>
    <w:p w:rsidR="00000000" w:rsidDel="00000000" w:rsidP="00000000" w:rsidRDefault="00000000" w:rsidRPr="00000000" w14:paraId="00000027">
      <w:pPr>
        <w:spacing w:after="200" w:line="276" w:lineRule="auto"/>
        <w:jc w:val="both"/>
        <w:rPr>
          <w:rFonts w:ascii="Times New Roman" w:cs="Times New Roman" w:eastAsia="Times New Roman" w:hAnsi="Times New Roman"/>
          <w:sz w:val="20"/>
          <w:szCs w:val="20"/>
        </w:rPr>
      </w:pPr>
      <w:bookmarkStart w:colFirst="0" w:colLast="0" w:name="_heading=h.xtxu1myqay5n" w:id="2"/>
      <w:bookmarkEnd w:id="2"/>
      <w:r w:rsidDel="00000000" w:rsidR="00000000" w:rsidRPr="00000000">
        <w:rPr>
          <w:rFonts w:ascii="Times New Roman" w:cs="Times New Roman" w:eastAsia="Times New Roman" w:hAnsi="Times New Roman"/>
          <w:b w:val="1"/>
          <w:bCs w:val="1"/>
          <w:sz w:val="20"/>
          <w:szCs w:val="20"/>
          <w:rtl w:val="0"/>
        </w:rPr>
        <w:t xml:space="preserve">Вимоги до подання пропозицій</w:t>
      </w:r>
      <w:r w:rsidDel="00000000" w:rsidR="00000000" w:rsidRPr="00000000">
        <w:rPr>
          <w:rFonts w:ascii="Times New Roman" w:cs="Times New Roman" w:eastAsia="Times New Roman" w:hAnsi="Times New Roman"/>
          <w:sz w:val="20"/>
          <w:szCs w:val="20"/>
          <w:rtl w:val="0"/>
        </w:rPr>
        <w:br w:type="textWrapping"/>
        <w:t xml:space="preserve">Пропозиція повинна бути складена </w:t>
      </w:r>
      <w:r w:rsidDel="00000000" w:rsidR="00000000" w:rsidRPr="00000000">
        <w:rPr>
          <w:rFonts w:ascii="Times New Roman" w:cs="Times New Roman" w:eastAsia="Times New Roman" w:hAnsi="Times New Roman"/>
          <w:b w:val="1"/>
          <w:bCs w:val="1"/>
          <w:sz w:val="20"/>
          <w:szCs w:val="20"/>
          <w:u w:val="single"/>
          <w:rtl w:val="0"/>
        </w:rPr>
        <w:t xml:space="preserve">українською мовою</w:t>
      </w:r>
      <w:r w:rsidDel="00000000" w:rsidR="00000000" w:rsidRPr="00000000">
        <w:rPr>
          <w:rFonts w:ascii="Times New Roman" w:cs="Times New Roman" w:eastAsia="Times New Roman" w:hAnsi="Times New Roman"/>
          <w:sz w:val="20"/>
          <w:szCs w:val="20"/>
          <w:rtl w:val="0"/>
        </w:rPr>
        <w:t xml:space="preserve"> і містити:</w:t>
      </w:r>
    </w:p>
    <w:p w:rsidR="00000000" w:rsidDel="00000000" w:rsidP="00000000" w:rsidRDefault="00000000" w:rsidRPr="00000000" w14:paraId="00000028">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Реєстраційні документи, банківські резвізити</w:t>
      </w:r>
      <w:r w:rsidDel="00000000" w:rsidR="00000000" w:rsidRPr="00000000">
        <w:rPr>
          <w:rFonts w:ascii="Times New Roman" w:cs="Times New Roman" w:eastAsia="Times New Roman" w:hAnsi="Times New Roman"/>
          <w:sz w:val="20"/>
          <w:szCs w:val="20"/>
          <w:rtl w:val="0"/>
        </w:rPr>
        <w:t xml:space="preserve"> організації/ФОП (виписка, витяг) для укладання договору.</w:t>
      </w:r>
    </w:p>
    <w:p w:rsidR="00000000" w:rsidDel="00000000" w:rsidP="00000000" w:rsidRDefault="00000000" w:rsidRPr="00000000" w14:paraId="00000029">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Опис досвіду кандидата в проведенні </w:t>
      </w:r>
      <w:r w:rsidDel="00000000" w:rsidR="00000000" w:rsidRPr="00000000">
        <w:rPr>
          <w:rFonts w:ascii="Times New Roman" w:cs="Times New Roman" w:eastAsia="Times New Roman" w:hAnsi="Times New Roman"/>
          <w:sz w:val="20"/>
          <w:szCs w:val="20"/>
          <w:rtl w:val="0"/>
        </w:rPr>
        <w:t xml:space="preserve">навчальних курсів “SMM-спеціаліст”; досвід створення та проведення дистанційних курсів і здатність забезпечити доступ до навчальних матеріалів онлайн.</w:t>
      </w:r>
    </w:p>
    <w:p w:rsidR="00000000" w:rsidDel="00000000" w:rsidP="00000000" w:rsidRDefault="00000000" w:rsidRPr="00000000" w14:paraId="0000002A">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Опис кваліфікації</w:t>
      </w:r>
      <w:r w:rsidDel="00000000" w:rsidR="00000000" w:rsidRPr="00000000">
        <w:rPr>
          <w:rFonts w:ascii="Times New Roman" w:cs="Times New Roman" w:eastAsia="Times New Roman" w:hAnsi="Times New Roman"/>
          <w:sz w:val="20"/>
          <w:szCs w:val="20"/>
          <w:rtl w:val="0"/>
        </w:rPr>
        <w:t xml:space="preserve"> викладачів; документи про освіту у сфері менеджменту, маркетингу або релевантної сфери; практичний досвід роботи в сфері.</w:t>
      </w:r>
    </w:p>
    <w:p w:rsidR="00000000" w:rsidDel="00000000" w:rsidP="00000000" w:rsidRDefault="00000000" w:rsidRPr="00000000" w14:paraId="0000002B">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Опис розробленої програми </w:t>
      </w:r>
      <w:r w:rsidDel="00000000" w:rsidR="00000000" w:rsidRPr="00000000">
        <w:rPr>
          <w:rFonts w:ascii="Times New Roman" w:cs="Times New Roman" w:eastAsia="Times New Roman" w:hAnsi="Times New Roman"/>
          <w:sz w:val="20"/>
          <w:szCs w:val="20"/>
          <w:rtl w:val="0"/>
        </w:rPr>
        <w:t xml:space="preserve">навчального курсу “SMM-спеціаліст”.</w:t>
      </w:r>
    </w:p>
    <w:p w:rsidR="00000000" w:rsidDel="00000000" w:rsidP="00000000" w:rsidRDefault="00000000" w:rsidRPr="00000000" w14:paraId="0000002C">
      <w:pPr>
        <w:numPr>
          <w:ilvl w:val="0"/>
          <w:numId w:val="1"/>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Інформацію про досвід </w:t>
      </w:r>
      <w:r w:rsidDel="00000000" w:rsidR="00000000" w:rsidRPr="00000000">
        <w:rPr>
          <w:rFonts w:ascii="Times New Roman" w:cs="Times New Roman" w:eastAsia="Times New Roman" w:hAnsi="Times New Roman"/>
          <w:sz w:val="20"/>
          <w:szCs w:val="20"/>
          <w:rtl w:val="0"/>
        </w:rPr>
        <w:t xml:space="preserve">надання вказаних послуг вразливим категоріям населення. </w:t>
      </w:r>
    </w:p>
    <w:p w:rsidR="00000000" w:rsidDel="00000000" w:rsidP="00000000" w:rsidRDefault="00000000" w:rsidRPr="00000000" w14:paraId="0000002D">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Цінову пропозицію,</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в якій просимо зазначити </w:t>
      </w:r>
      <w:r w:rsidDel="00000000" w:rsidR="00000000" w:rsidRPr="00000000">
        <w:rPr>
          <w:rFonts w:ascii="Times New Roman" w:cs="Times New Roman" w:eastAsia="Times New Roman" w:hAnsi="Times New Roman"/>
          <w:b w:val="1"/>
          <w:bCs w:val="1"/>
          <w:sz w:val="20"/>
          <w:szCs w:val="20"/>
          <w:u w:val="single"/>
          <w:rtl w:val="0"/>
        </w:rPr>
        <w:t xml:space="preserve">вартість навчання 1 групи. </w:t>
      </w:r>
      <w:r w:rsidDel="00000000" w:rsidR="00000000" w:rsidRPr="00000000">
        <w:rPr>
          <w:rFonts w:ascii="Times New Roman" w:cs="Times New Roman" w:eastAsia="Times New Roman" w:hAnsi="Times New Roman"/>
          <w:sz w:val="20"/>
          <w:szCs w:val="20"/>
          <w:rtl w:val="0"/>
        </w:rPr>
        <w:t xml:space="preserve">У вартість додати всі витрати, необхідні для надання послуги.</w:t>
      </w:r>
    </w:p>
    <w:p w:rsidR="00000000" w:rsidDel="00000000" w:rsidP="00000000" w:rsidRDefault="00000000" w:rsidRPr="00000000" w14:paraId="0000002E">
      <w:pPr>
        <w:numPr>
          <w:ilvl w:val="0"/>
          <w:numId w:val="1"/>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Контактну інформацію</w:t>
      </w:r>
      <w:r w:rsidDel="00000000" w:rsidR="00000000" w:rsidRPr="00000000">
        <w:rPr>
          <w:rFonts w:ascii="Times New Roman" w:cs="Times New Roman" w:eastAsia="Times New Roman" w:hAnsi="Times New Roman"/>
          <w:sz w:val="20"/>
          <w:szCs w:val="20"/>
          <w:rtl w:val="0"/>
        </w:rPr>
        <w:t xml:space="preserve"> організації/ експерта(ів).</w:t>
      </w:r>
    </w:p>
    <w:p w:rsidR="00000000" w:rsidDel="00000000" w:rsidP="00000000" w:rsidRDefault="00000000" w:rsidRPr="00000000" w14:paraId="0000002F">
      <w:pPr>
        <w:spacing w:after="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spacing w:after="0" w:line="276" w:lineRule="auto"/>
        <w:jc w:val="both"/>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rtl w:val="0"/>
        </w:rPr>
        <w:t xml:space="preserve">   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tbl>
      <w:tblPr>
        <w:tblStyle w:val="Table1"/>
        <w:tblW w:w="101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
        <w:gridCol w:w="1845"/>
        <w:gridCol w:w="6435"/>
        <w:gridCol w:w="1335"/>
        <w:tblGridChange w:id="0">
          <w:tblGrid>
            <w:gridCol w:w="525"/>
            <w:gridCol w:w="1845"/>
            <w:gridCol w:w="6435"/>
            <w:gridCol w:w="1335"/>
          </w:tblGrid>
        </w:tblGridChange>
      </w:tblGrid>
      <w:tr>
        <w:trPr>
          <w:cantSplit w:val="0"/>
          <w:trHeight w:val="227" w:hRule="atLeast"/>
          <w:tblHeader w:val="0"/>
        </w:trPr>
        <w:tc>
          <w:tcPr>
            <w:gridSpan w:val="4"/>
            <w:tcBorders>
              <w:top w:color="000000" w:space="0" w:sz="5" w:val="single"/>
              <w:left w:color="000000" w:space="0" w:sz="5" w:val="single"/>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31">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ШКАЛА ОЦІНКИ ТЕХНІЧНИХ ВИМОГ</w:t>
            </w:r>
          </w:p>
        </w:tc>
      </w:tr>
      <w:tr>
        <w:trPr>
          <w:cantSplit w:val="0"/>
          <w:trHeight w:val="669" w:hRule="atLeast"/>
          <w:tblHeader w:val="0"/>
        </w:trPr>
        <w:tc>
          <w:tcPr>
            <w:tcBorders>
              <w:top w:color="000000" w:space="0" w:sz="0" w:val="nil"/>
              <w:left w:color="000000" w:space="0" w:sz="5" w:val="single"/>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35">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36">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Відповідність технічним вимогам</w:t>
            </w:r>
          </w:p>
        </w:tc>
        <w:tc>
          <w:tcPr>
            <w:tcBorders>
              <w:top w:color="000000" w:space="0" w:sz="0" w:val="nil"/>
              <w:left w:color="000000" w:space="0" w:sz="0" w:val="nil"/>
              <w:bottom w:color="000000" w:space="0" w:sz="5" w:val="single"/>
              <w:right w:color="000000" w:space="0" w:sz="5" w:val="single"/>
            </w:tcBorders>
            <w:shd w:fill="dbe5f1" w:val="clear"/>
            <w:tcMar>
              <w:top w:w="0.0" w:type="dxa"/>
              <w:left w:w="100.0" w:type="dxa"/>
              <w:bottom w:w="0.0" w:type="dxa"/>
              <w:right w:w="100.0" w:type="dxa"/>
            </w:tcMar>
          </w:tcPr>
          <w:p w:rsidR="00000000" w:rsidDel="00000000" w:rsidP="00000000" w:rsidRDefault="00000000" w:rsidRPr="00000000" w14:paraId="00000037">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МЕТОДОЛОГІЯ ОЦІНКИ</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38">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Максимальна кількість балів за вимогою</w:t>
            </w:r>
          </w:p>
        </w:tc>
      </w:tr>
      <w:tr>
        <w:trPr>
          <w:cantSplit w:val="0"/>
          <w:trHeight w:val="23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39">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3A">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у проведенні навчальних курсі з SMM-спеціаліст</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3B">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Кандидатом надано інформацію щодо досвіду проведення навчальних курсі з SMM-спеціаліст (досвід проведення навчальних курсів становить понад 5 років). </w:t>
            </w:r>
          </w:p>
          <w:p w:rsidR="00000000" w:rsidDel="00000000" w:rsidP="00000000" w:rsidRDefault="00000000" w:rsidRPr="00000000" w14:paraId="0000003C">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балів: Кандидатом надано інформацію щодо досвіду проведення навчальних курсі з SMM-спеціаліст (досвід проведення навчальних курсів становить менше 5 років). </w:t>
            </w:r>
          </w:p>
          <w:p w:rsidR="00000000" w:rsidDel="00000000" w:rsidP="00000000" w:rsidRDefault="00000000" w:rsidRPr="00000000" w14:paraId="0000003D">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Кандидатом надано інформацію з відсутністю актуального досвіду за останні 5 років у сфері проведення аналогічних навчань, або кандидатом не надано інформацію про релевантний до сфери та завдань проєкту досвід.</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3E">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r>
      <w:tr>
        <w:trPr>
          <w:cantSplit w:val="0"/>
          <w:trHeight w:val="37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3F">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40">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Кваліфікація викладачів</w:t>
              <w:br w:type="textWrapping"/>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41">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Кандидатом надано вичерпну інформацію щодо кваліфікації викладачів, освіти,  їхнього досвіду, в тому числі практичного досвід роботи в сфері, навичок, досягнень, розроблених методичних матеріалів та напрацювань за час набуття досвіду. Резюме актуалізоване та містить інформацію діяльності викладачів щонайменше за останні 5 років. </w:t>
            </w:r>
          </w:p>
          <w:p w:rsidR="00000000" w:rsidDel="00000000" w:rsidP="00000000" w:rsidRDefault="00000000" w:rsidRPr="00000000" w14:paraId="00000042">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балів: Кандидатом надано узагальнену інформацію щодо кваліфікації викладачів, освіти, їхнього досвіду, в тому числі практичного досвід роботи в сфері; опис навичок, досягнень, розроблених методичних матеріалів та напрацювань за час набуття досвіду надано без додаткової деталізації. Резюме актуалізоване та містить інформацію діяльності викладачів щонайменше за останні 5 років. </w:t>
            </w:r>
          </w:p>
          <w:p w:rsidR="00000000" w:rsidDel="00000000" w:rsidP="00000000" w:rsidRDefault="00000000" w:rsidRPr="00000000" w14:paraId="00000043">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Кандидатом надано інформацію щодо кваліфікації викладачів з відсутністю актуального досвіду за останні 5 років у сфері проведення аналогічних навчань, або кандидатом не надано резюме, або досвід не є релевантним до сфери та завдань проєкту.</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44">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r>
      <w:tr>
        <w:trPr>
          <w:cantSplit w:val="0"/>
          <w:trHeight w:val="17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45">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4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Подання зразка розробленої програми навчання з SMM-спеціаліст</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47">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Кандидатом надані матеріали, які містять ґрунтовне пропрацювання навчального курсу SMM-спеціаліст. Програма передбачає домашні завдання для слухачів.</w:t>
            </w:r>
          </w:p>
          <w:p w:rsidR="00000000" w:rsidDel="00000000" w:rsidP="00000000" w:rsidRDefault="00000000" w:rsidRPr="00000000" w14:paraId="00000048">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балів: Кандидатом надані матеріали програми без деталізованого опису. </w:t>
            </w:r>
          </w:p>
          <w:p w:rsidR="00000000" w:rsidDel="00000000" w:rsidP="00000000" w:rsidRDefault="00000000" w:rsidRPr="00000000" w14:paraId="00000049">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Кандидатом жодних матеріалів не подано.</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4A">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r>
      <w:tr>
        <w:trPr>
          <w:cantSplit w:val="0"/>
          <w:trHeight w:val="165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4B">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4C">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проведення навчального курсу SMM-спеціаліст для вразливих категорій населення (ВПО, особи з інвалідністю тощо)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4D">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Кандидат має досвід проведення навчального курсу SMM-спеціаліст для вразливих категорій населення понад 3 роки, розуміє специфіку їх потреб та викликів.</w:t>
            </w:r>
          </w:p>
          <w:p w:rsidR="00000000" w:rsidDel="00000000" w:rsidP="00000000" w:rsidRDefault="00000000" w:rsidRPr="00000000" w14:paraId="0000004E">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 має досвід проведення навчального курсу SMM-спеціаліст для вразливих категорій населення до 3 років, але розуміє специфіку їх потреб та викликів.</w:t>
            </w:r>
          </w:p>
          <w:p w:rsidR="00000000" w:rsidDel="00000000" w:rsidP="00000000" w:rsidRDefault="00000000" w:rsidRPr="00000000" w14:paraId="0000004F">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має досвіду проведення навчального курсу SMM-спеціаліст для вразливих категорій населення.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0">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0"/>
          <w:trHeight w:val="213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1">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52">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Відгуки та рекомендації попередніх клієнтів, які пройшли курси SMM-спеціаліст</w:t>
            </w:r>
          </w:p>
          <w:p w:rsidR="00000000" w:rsidDel="00000000" w:rsidP="00000000" w:rsidRDefault="00000000" w:rsidRPr="00000000" w14:paraId="00000053">
            <w:pPr>
              <w:spacing w:after="0" w:line="276"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4">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Кандидат надав відгуки або рекомендації від клієнтів, які пройшли курси SMM-спеціаліст. Відгуки містять конкретні дані про покращення знань або навичок слухачів, результати їх навчання, а також про якість курсу.</w:t>
            </w:r>
          </w:p>
          <w:p w:rsidR="00000000" w:rsidDel="00000000" w:rsidP="00000000" w:rsidRDefault="00000000" w:rsidRPr="00000000" w14:paraId="00000055">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Кандидат надав загальні відгуки або рекомендації від клієнтів, які пройшли курси SMM-спеціаліст, але відгуки не містять конкретних даних щодо результатів або покращень, або вони є менш детальними. </w:t>
            </w:r>
          </w:p>
          <w:p w:rsidR="00000000" w:rsidDel="00000000" w:rsidP="00000000" w:rsidRDefault="00000000" w:rsidRPr="00000000" w14:paraId="00000056">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надав відгуків або рекомендацій від попередніх клієнтів, або відгуки не стосуються навчальних курсів SMM-спеціаліст.</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7">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2085" w:hRule="atLeast"/>
          <w:tblHeader w:val="0"/>
        </w:trPr>
        <w:tc>
          <w:tcPr>
            <w:tcBorders>
              <w:left w:color="000000" w:space="0" w:sz="4" w:val="single"/>
              <w:bottom w:color="000000" w:space="0" w:sz="4" w:val="single"/>
            </w:tcBorders>
          </w:tcPr>
          <w:p w:rsidR="00000000" w:rsidDel="00000000" w:rsidP="00000000" w:rsidRDefault="00000000" w:rsidRPr="00000000" w14:paraId="00000058">
            <w:pPr>
              <w:widowControl w:val="0"/>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59">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Наявність додаткової підтримки слухачів навчальних курсів під час навчання (додаткові вебінари, тренінги, сприяння у працевлаштуванні, відеозаписи пройдених тем, спільний чат тощо)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A">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Кандидат надав інформацію про можливість підтримки слухачів під час навчального курсу, яка включає додаткові вебінари, тренінги, консультації, сприяння у працевлаштуванні, відеозаписи пройдених тем, спільний чат тощо. </w:t>
            </w:r>
          </w:p>
          <w:p w:rsidR="00000000" w:rsidDel="00000000" w:rsidP="00000000" w:rsidRDefault="00000000" w:rsidRPr="00000000" w14:paraId="0000005B">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Кандидат надав загальний опис підтримки слухачів під час навчального курсу, наприклад, можливість консультацій або допомоги в працевлаштуванні,відеозаписи пройдених тем, спільний чат, але без чітких деталей або конкретних ініціатив.</w:t>
            </w:r>
          </w:p>
          <w:p w:rsidR="00000000" w:rsidDel="00000000" w:rsidP="00000000" w:rsidRDefault="00000000" w:rsidRPr="00000000" w14:paraId="0000005C">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надав інформації щодо підтримки слухачів курсу або зазначено, що така підтримка відсутня.</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D">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495" w:hRule="atLeast"/>
          <w:tblHeader w:val="0"/>
        </w:trPr>
        <w:tc>
          <w:tcPr>
            <w:tcBorders>
              <w:left w:color="000000" w:space="0" w:sz="4" w:val="single"/>
              <w:bottom w:color="000000" w:space="0" w:sz="4" w:val="single"/>
            </w:tcBorders>
          </w:tcPr>
          <w:p w:rsidR="00000000" w:rsidDel="00000000" w:rsidP="00000000" w:rsidRDefault="00000000" w:rsidRPr="00000000" w14:paraId="0000005E">
            <w:pPr>
              <w:widowControl w:val="0"/>
              <w:spacing w:after="200" w:line="240" w:lineRule="auto"/>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4" w:val="single"/>
              <w:bottom w:color="000000" w:space="0" w:sz="4" w:val="single"/>
            </w:tcBorders>
            <w:shd w:fill="ffffff" w:val="clear"/>
          </w:tcPr>
          <w:p w:rsidR="00000000" w:rsidDel="00000000" w:rsidP="00000000" w:rsidRDefault="00000000" w:rsidRPr="00000000" w14:paraId="0000005F">
            <w:pPr>
              <w:widowControl w:val="0"/>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РАЗОМ</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0">
            <w:pPr>
              <w:widowControl w:val="0"/>
              <w:spacing w:after="20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5.0" w:type="dxa"/>
              <w:bottom w:w="0.0" w:type="dxa"/>
              <w:right w:w="45.0" w:type="dxa"/>
            </w:tcMar>
          </w:tcPr>
          <w:p w:rsidR="00000000" w:rsidDel="00000000" w:rsidP="00000000" w:rsidRDefault="00000000" w:rsidRPr="00000000" w14:paraId="00000061">
            <w:pPr>
              <w:widowControl w:val="0"/>
              <w:spacing w:after="20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r>
    </w:tbl>
    <w:p w:rsidR="00000000" w:rsidDel="00000000" w:rsidP="00000000" w:rsidRDefault="00000000" w:rsidRPr="00000000" w14:paraId="00000062">
      <w:pPr>
        <w:spacing w:after="0" w:line="276" w:lineRule="auto"/>
        <w:jc w:val="both"/>
        <w:rPr>
          <w:rFonts w:ascii="Times New Roman" w:cs="Times New Roman" w:eastAsia="Times New Roman" w:hAnsi="Times New Roman"/>
          <w:sz w:val="20"/>
          <w:szCs w:val="20"/>
        </w:rPr>
      </w:pPr>
      <w:r w:rsidDel="00000000" w:rsidR="00000000" w:rsidRPr="00000000">
        <w:rPr>
          <w:rtl w:val="0"/>
        </w:rPr>
      </w:r>
    </w:p>
    <w:sectPr>
      <w:headerReference r:id="rId8" w:type="default"/>
      <w:pgSz w:h="16838" w:w="11906" w:orient="portrait"/>
      <w:pgMar w:bottom="709" w:top="1740"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ab/>
      <w:t xml:space="preserve">          </w:t>
      <w:tab/>
    </w:r>
    <w:r w:rsidDel="00000000" w:rsidR="00000000" w:rsidRPr="00000000">
      <w:drawing>
        <wp:anchor allowOverlap="1" behindDoc="1" distB="0" distT="0" distL="0" distR="0" hidden="0" layoutInCell="1" locked="0" relativeHeight="0" simplePos="0">
          <wp:simplePos x="0" y="0"/>
          <wp:positionH relativeFrom="column">
            <wp:posOffset>-529570</wp:posOffset>
          </wp:positionH>
          <wp:positionV relativeFrom="paragraph">
            <wp:posOffset>-85069</wp:posOffset>
          </wp:positionV>
          <wp:extent cx="1771650" cy="89090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71650" cy="89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nder@r2p.org.u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WWwG7QwgxFaI2mm+S13gV7/D+g==">CgMxLjAyCWguMWZvYjl0ZTIOaC56YTZweGxsMXB2bW8yDmgueHR4dTFteXFheTVuOAByITFwYVJyTS00M0sySmEzYVpla3V6dXlvalFIY1dsSGpSTA==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