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left="-283.46456692913375" w:right="-749.5275590551165"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spacing w:after="0" w:lineRule="auto"/>
        <w:ind w:left="-283.46456692913375" w:right="-749.5275590551165"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after="0" w:lineRule="auto"/>
        <w:ind w:left="-283.46456692913375" w:right="-749.5275590551165"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after="0" w:lineRule="auto"/>
        <w:ind w:left="-283.46456692913375" w:right="-749.5275590551165"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after="0" w:lineRule="auto"/>
        <w:ind w:left="-283.46456692913375" w:right="-749.5275590551165"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after="0" w:lineRule="auto"/>
        <w:ind w:left="-283.46456692913375" w:right="-749.5275590551165" w:firstLine="0"/>
        <w:jc w:val="center"/>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rPr>
        <w:drawing>
          <wp:anchor allowOverlap="1" behindDoc="1" distB="0" distT="0" distL="0" distR="0" hidden="0" layoutInCell="1" locked="0" relativeHeight="0" simplePos="0">
            <wp:simplePos x="0" y="0"/>
            <wp:positionH relativeFrom="page">
              <wp:posOffset>5448300</wp:posOffset>
            </wp:positionH>
            <wp:positionV relativeFrom="page">
              <wp:posOffset>428625</wp:posOffset>
            </wp:positionV>
            <wp:extent cx="1743710" cy="1154430"/>
            <wp:effectExtent b="0" l="0" r="0" t="0"/>
            <wp:wrapNone/>
            <wp:docPr descr="C:\Users\sidorkova\Desktop\Logo UKR.jpg" id="1" name="image1.jpg"/>
            <a:graphic>
              <a:graphicData uri="http://schemas.openxmlformats.org/drawingml/2006/picture">
                <pic:pic>
                  <pic:nvPicPr>
                    <pic:cNvPr descr="C:\Users\sidorkova\Desktop\Logo UKR.jpg" id="0" name="image1.jpg"/>
                    <pic:cNvPicPr preferRelativeResize="0"/>
                  </pic:nvPicPr>
                  <pic:blipFill>
                    <a:blip r:embed="rId7"/>
                    <a:srcRect b="0" l="0" r="0" t="0"/>
                    <a:stretch>
                      <a:fillRect/>
                    </a:stretch>
                  </pic:blipFill>
                  <pic:spPr>
                    <a:xfrm>
                      <a:off x="0" y="0"/>
                      <a:ext cx="1743710" cy="1154430"/>
                    </a:xfrm>
                    <a:prstGeom prst="rect"/>
                    <a:ln/>
                  </pic:spPr>
                </pic:pic>
              </a:graphicData>
            </a:graphic>
          </wp:anchor>
        </w:drawing>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Технічне завдання для закупівлі послуги </w:t>
      </w:r>
    </w:p>
    <w:p w:rsidR="00000000" w:rsidDel="00000000" w:rsidP="00000000" w:rsidRDefault="00000000" w:rsidRPr="00000000" w14:paraId="00000007">
      <w:pPr>
        <w:spacing w:after="0" w:lineRule="auto"/>
        <w:ind w:left="-283.4645669291337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менторського супроводу з розробки фандрейзингової стратегії Зеленодольської громади Дніпропетровської області </w:t>
      </w:r>
      <w:r w:rsidDel="00000000" w:rsidR="00000000" w:rsidRPr="00000000">
        <w:rPr>
          <w:rFonts w:ascii="Times New Roman" w:cs="Times New Roman" w:eastAsia="Times New Roman" w:hAnsi="Times New Roman"/>
          <w:b w:val="1"/>
          <w:bCs w:val="1"/>
          <w:color w:val="000000"/>
          <w:rtl w:val="0"/>
        </w:rPr>
        <w:t xml:space="preserve">від Благодійного Фонду “Право на Захист”</w:t>
      </w:r>
      <w:r w:rsidDel="00000000" w:rsidR="00000000" w:rsidRPr="00000000">
        <w:rPr>
          <w:rtl w:val="0"/>
        </w:rPr>
      </w:r>
    </w:p>
    <w:p w:rsidR="00000000" w:rsidDel="00000000" w:rsidP="00000000" w:rsidRDefault="00000000" w:rsidRPr="00000000" w14:paraId="00000008">
      <w:pPr>
        <w:spacing w:after="0" w:lineRule="auto"/>
        <w:ind w:left="-283.46456692913375"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after="0" w:lineRule="auto"/>
        <w:ind w:left="-283.464566929133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Благодійна організація «БЛАГОДІЙНИЙ ФОНД «ПРАВО НА ЗАХИСТ» запрошує надавачів послуг до участі в тендері на закупівлю послуги </w:t>
      </w:r>
      <w:r w:rsidDel="00000000" w:rsidR="00000000" w:rsidRPr="00000000">
        <w:rPr>
          <w:rFonts w:ascii="Times New Roman" w:cs="Times New Roman" w:eastAsia="Times New Roman" w:hAnsi="Times New Roman"/>
          <w:b w:val="1"/>
          <w:bCs w:val="1"/>
          <w:rtl w:val="0"/>
        </w:rPr>
        <w:t xml:space="preserve">менторського супроводу з розробки фандрейзингової стратегії Зеленодольської громади Дніпропетровської області.</w:t>
      </w:r>
      <w:r w:rsidDel="00000000" w:rsidR="00000000" w:rsidRPr="00000000">
        <w:rPr>
          <w:rtl w:val="0"/>
        </w:rPr>
      </w:r>
    </w:p>
    <w:p w:rsidR="00000000" w:rsidDel="00000000" w:rsidP="00000000" w:rsidRDefault="00000000" w:rsidRPr="00000000" w14:paraId="0000000A">
      <w:pPr>
        <w:spacing w:after="0" w:lineRule="auto"/>
        <w:ind w:left="-283.4645669291337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after="0" w:lineRule="auto"/>
        <w:ind w:left="-283.464566929133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Формат</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офлайн, або у змішаному форматі (онлайн і офлайн), за умови попереднього узгодження з усіма залученими сторонами, та відсотковим співвідношенням офлайн роботи не менше ніж 50% від загального часу.</w:t>
      </w:r>
    </w:p>
    <w:p w:rsidR="00000000" w:rsidDel="00000000" w:rsidP="00000000" w:rsidRDefault="00000000" w:rsidRPr="00000000" w14:paraId="0000000C">
      <w:pPr>
        <w:spacing w:after="0" w:lineRule="auto"/>
        <w:ind w:left="-283.4645669291337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after="0" w:lineRule="auto"/>
        <w:ind w:left="-283.46456692913375"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color w:val="000000"/>
          <w:rtl w:val="0"/>
        </w:rPr>
        <w:t xml:space="preserve">Місце проведення</w:t>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bCs w:val="1"/>
          <w:rtl w:val="0"/>
        </w:rPr>
        <w:t xml:space="preserve"> м. Зеленодольськ, Дніпропетровської області</w:t>
      </w:r>
    </w:p>
    <w:p w:rsidR="00000000" w:rsidDel="00000000" w:rsidP="00000000" w:rsidRDefault="00000000" w:rsidRPr="00000000" w14:paraId="0000000E">
      <w:pPr>
        <w:spacing w:after="0" w:lineRule="auto"/>
        <w:ind w:left="-283.46456692913375" w:firstLine="0"/>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tl w:val="0"/>
        </w:rPr>
        <w:t xml:space="preserve">Період</w:t>
      </w:r>
      <w:r w:rsidDel="00000000" w:rsidR="00000000" w:rsidRPr="00000000">
        <w:rPr>
          <w:rFonts w:ascii="Times New Roman" w:cs="Times New Roman" w:eastAsia="Times New Roman" w:hAnsi="Times New Roman"/>
          <w:b w:val="1"/>
          <w:bCs w:val="1"/>
          <w:color w:val="000000"/>
          <w:rtl w:val="0"/>
        </w:rPr>
        <w:t xml:space="preserve"> надання послуг</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rtl w:val="0"/>
        </w:rPr>
        <w:t xml:space="preserve">Червень 2026 року</w:t>
      </w:r>
      <w:r w:rsidDel="00000000" w:rsidR="00000000" w:rsidRPr="00000000">
        <w:rPr>
          <w:rFonts w:ascii="Times New Roman" w:cs="Times New Roman" w:eastAsia="Times New Roman" w:hAnsi="Times New Roman"/>
          <w:b w:val="1"/>
          <w:bCs w:val="1"/>
          <w:color w:val="000000"/>
          <w:rtl w:val="0"/>
        </w:rPr>
        <w:t xml:space="preserve"> - </w:t>
      </w:r>
      <w:r w:rsidDel="00000000" w:rsidR="00000000" w:rsidRPr="00000000">
        <w:rPr>
          <w:rFonts w:ascii="Times New Roman" w:cs="Times New Roman" w:eastAsia="Times New Roman" w:hAnsi="Times New Roman"/>
          <w:b w:val="1"/>
          <w:bCs w:val="1"/>
          <w:rtl w:val="0"/>
        </w:rPr>
        <w:t xml:space="preserve">Жовтень 2026 року</w:t>
      </w:r>
      <w:r w:rsidDel="00000000" w:rsidR="00000000" w:rsidRPr="00000000">
        <w:rPr>
          <w:rtl w:val="0"/>
        </w:rPr>
      </w:r>
    </w:p>
    <w:p w:rsidR="00000000" w:rsidDel="00000000" w:rsidP="00000000" w:rsidRDefault="00000000" w:rsidRPr="00000000" w14:paraId="0000000F">
      <w:pPr>
        <w:spacing w:after="0" w:lineRule="auto"/>
        <w:ind w:left="-283.464566929133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Географія учасників проекту: </w:t>
      </w:r>
      <w:r w:rsidDel="00000000" w:rsidR="00000000" w:rsidRPr="00000000">
        <w:rPr>
          <w:rFonts w:ascii="Times New Roman" w:cs="Times New Roman" w:eastAsia="Times New Roman" w:hAnsi="Times New Roman"/>
          <w:rtl w:val="0"/>
        </w:rPr>
        <w:t xml:space="preserve">Зеленодольська громада Дніпропетровської області</w:t>
      </w:r>
    </w:p>
    <w:p w:rsidR="00000000" w:rsidDel="00000000" w:rsidP="00000000" w:rsidRDefault="00000000" w:rsidRPr="00000000" w14:paraId="00000010">
      <w:pPr>
        <w:spacing w:after="0" w:lineRule="auto"/>
        <w:ind w:left="-283.46456692913375"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after="120" w:lineRule="auto"/>
        <w:ind w:left="-283.46456692913375"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color w:val="000000"/>
          <w:u w:val="single"/>
          <w:rtl w:val="0"/>
        </w:rPr>
        <w:t xml:space="preserve">Детальний опис:</w:t>
      </w:r>
      <w:r w:rsidDel="00000000" w:rsidR="00000000" w:rsidRPr="00000000">
        <w:rPr>
          <w:rFonts w:ascii="Times New Roman" w:cs="Times New Roman" w:eastAsia="Times New Roman" w:hAnsi="Times New Roman"/>
          <w:b w:val="1"/>
          <w:bCs w:val="1"/>
          <w:u w:val="single"/>
          <w:rtl w:val="0"/>
        </w:rPr>
        <w:t xml:space="preserve"> </w:t>
      </w:r>
      <w:r w:rsidDel="00000000" w:rsidR="00000000" w:rsidRPr="00000000">
        <w:rPr>
          <w:rFonts w:ascii="Times New Roman" w:cs="Times New Roman" w:eastAsia="Times New Roman" w:hAnsi="Times New Roman"/>
          <w:b w:val="1"/>
          <w:bCs w:val="1"/>
          <w:rtl w:val="0"/>
        </w:rPr>
        <w:t xml:space="preserve">Завдання: </w:t>
      </w:r>
    </w:p>
    <w:p w:rsidR="00000000" w:rsidDel="00000000" w:rsidP="00000000" w:rsidRDefault="00000000" w:rsidRPr="00000000" w14:paraId="0000001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283.46456692913375" w:right="0" w:firstLine="0"/>
        <w:jc w:val="both"/>
        <w:rPr>
          <w:rFonts w:ascii="Times New Roman" w:cs="Times New Roman" w:eastAsia="Times New Roman" w:hAnsi="Times New Roman"/>
          <w:b w:val="0"/>
          <w:bCs w:val="0"/>
          <w:i w:val="0"/>
          <w:iCs w:val="0"/>
          <w:smallCaps w:val="0"/>
          <w:strike w:val="0"/>
          <w:color w:val="000000"/>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vertAlign w:val="baseline"/>
          <w:rtl w:val="0"/>
        </w:rPr>
        <w:t xml:space="preserve">Забезпечити </w:t>
      </w:r>
      <w:r w:rsidDel="00000000" w:rsidR="00000000" w:rsidRPr="00000000">
        <w:rPr>
          <w:rFonts w:ascii="Times New Roman" w:cs="Times New Roman" w:eastAsia="Times New Roman" w:hAnsi="Times New Roman"/>
          <w:rtl w:val="0"/>
        </w:rPr>
        <w:t xml:space="preserve">менторський</w:t>
      </w:r>
      <w:r w:rsidDel="00000000" w:rsidR="00000000" w:rsidRPr="00000000">
        <w:rPr>
          <w:rFonts w:ascii="Times New Roman" w:cs="Times New Roman" w:eastAsia="Times New Roman" w:hAnsi="Times New Roman"/>
          <w:b w:val="0"/>
          <w:bCs w:val="0"/>
          <w:i w:val="0"/>
          <w:iCs w:val="0"/>
          <w:smallCaps w:val="0"/>
          <w:strike w:val="0"/>
          <w:color w:val="000000"/>
          <w:u w:val="none"/>
          <w:vertAlign w:val="baseline"/>
          <w:rtl w:val="0"/>
        </w:rPr>
        <w:t xml:space="preserve"> супровід представників органів місцевого самоврядування та інших місцевих стейкхолдерів в розробці фандрейзингової стратегії громади (у складі з планом її впровадження) для </w:t>
      </w:r>
      <w:r w:rsidDel="00000000" w:rsidR="00000000" w:rsidRPr="00000000">
        <w:rPr>
          <w:rFonts w:ascii="Times New Roman" w:cs="Times New Roman" w:eastAsia="Times New Roman" w:hAnsi="Times New Roman"/>
          <w:rtl w:val="0"/>
        </w:rPr>
        <w:t xml:space="preserve">Зеленодольської</w:t>
      </w:r>
      <w:r w:rsidDel="00000000" w:rsidR="00000000" w:rsidRPr="00000000">
        <w:rPr>
          <w:rFonts w:ascii="Times New Roman" w:cs="Times New Roman" w:eastAsia="Times New Roman" w:hAnsi="Times New Roman"/>
          <w:b w:val="0"/>
          <w:bCs w:val="0"/>
          <w:i w:val="0"/>
          <w:iCs w:val="0"/>
          <w:smallCaps w:val="0"/>
          <w:strike w:val="0"/>
          <w:color w:val="000000"/>
          <w:u w:val="none"/>
          <w:vertAlign w:val="baseline"/>
          <w:rtl w:val="0"/>
        </w:rPr>
        <w:t xml:space="preserve"> громади </w:t>
      </w:r>
      <w:r w:rsidDel="00000000" w:rsidR="00000000" w:rsidRPr="00000000">
        <w:rPr>
          <w:rFonts w:ascii="Times New Roman" w:cs="Times New Roman" w:eastAsia="Times New Roman" w:hAnsi="Times New Roman"/>
          <w:rtl w:val="0"/>
        </w:rPr>
        <w:t xml:space="preserve">Дніпропетровської</w:t>
      </w:r>
      <w:r w:rsidDel="00000000" w:rsidR="00000000" w:rsidRPr="00000000">
        <w:rPr>
          <w:rFonts w:ascii="Times New Roman" w:cs="Times New Roman" w:eastAsia="Times New Roman" w:hAnsi="Times New Roman"/>
          <w:b w:val="0"/>
          <w:bCs w:val="0"/>
          <w:i w:val="0"/>
          <w:iCs w:val="0"/>
          <w:smallCaps w:val="0"/>
          <w:strike w:val="0"/>
          <w:color w:val="000000"/>
          <w:u w:val="none"/>
          <w:vertAlign w:val="baseline"/>
          <w:rtl w:val="0"/>
        </w:rPr>
        <w:t xml:space="preserve"> області</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u w:val="none"/>
          <w:vertAlign w:val="baseline"/>
          <w:rtl w:val="0"/>
        </w:rPr>
        <w:t xml:space="preserve">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3.46456692913375"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ході виконання завдання необхідно:</w:t>
      </w:r>
    </w:p>
    <w:p w:rsidR="00000000" w:rsidDel="00000000" w:rsidP="00000000" w:rsidRDefault="00000000" w:rsidRPr="00000000" w14:paraId="0000001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283.46456692913375"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ознайомитися із існуючими (або тими, що знаходяться в процесі розробки/актуалізації) стратегічно-планувальними документами громади (Стратегія розвитку громади/План відновлення та розвитку/Програма комплексного відновлення тощо);</w:t>
      </w:r>
    </w:p>
    <w:p w:rsidR="00000000" w:rsidDel="00000000" w:rsidP="00000000" w:rsidRDefault="00000000" w:rsidRPr="00000000" w14:paraId="0000001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283.46456692913375"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спільно з громадою здійснити аналіз поточного фінансового стану громади та аналіз можливостей залучення додаткових ресурсів;</w:t>
      </w:r>
    </w:p>
    <w:p w:rsidR="00000000" w:rsidDel="00000000" w:rsidP="00000000" w:rsidRDefault="00000000" w:rsidRPr="00000000" w14:paraId="0000001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283.46456692913375"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спільно з громадою визначити пріоритетні напрямки для залучення ресурсів;</w:t>
      </w:r>
    </w:p>
    <w:p w:rsidR="00000000" w:rsidDel="00000000" w:rsidP="00000000" w:rsidRDefault="00000000" w:rsidRPr="00000000" w14:paraId="0000001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283.46456692913375"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спільно з громадою напрацювати план дій для роботи з потенційними донорами, грантодавцями та іншими зацікавленими сторонами;</w:t>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283.46456692913375"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спільно з громадою розробити фандрейзингову стратегію для громади, яка спрямована на посилення громади в реалізації її стратегічно-планувальних документів.</w:t>
      </w:r>
    </w:p>
    <w:p w:rsidR="00000000" w:rsidDel="00000000" w:rsidP="00000000" w:rsidRDefault="00000000" w:rsidRPr="00000000" w14:paraId="00000019">
      <w:pPr>
        <w:ind w:left="-283.464566929133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Виконання завдання передбачено через:</w:t>
      </w:r>
    </w:p>
    <w:p w:rsidR="00000000" w:rsidDel="00000000" w:rsidP="00000000" w:rsidRDefault="00000000" w:rsidRPr="00000000" w14:paraId="0000001A">
      <w:pPr>
        <w:numPr>
          <w:ilvl w:val="0"/>
          <w:numId w:val="1"/>
        </w:numPr>
        <w:ind w:left="-283.464566929133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супровід в проведенні не менше 2 офлайн зустрічей з представниками громади для розробки фандрейзенгової стратегії;</w:t>
      </w:r>
    </w:p>
    <w:p w:rsidR="00000000" w:rsidDel="00000000" w:rsidP="00000000" w:rsidRDefault="00000000" w:rsidRPr="00000000" w14:paraId="0000001B">
      <w:pPr>
        <w:numPr>
          <w:ilvl w:val="0"/>
          <w:numId w:val="1"/>
        </w:numPr>
        <w:ind w:left="-283.464566929133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проведення не менше 7 онлайн консультацій з представниками громади щодо розробки фандрейзенгової стратегії;</w:t>
      </w:r>
    </w:p>
    <w:p w:rsidR="00000000" w:rsidDel="00000000" w:rsidP="00000000" w:rsidRDefault="00000000" w:rsidRPr="00000000" w14:paraId="0000001C">
      <w:pPr>
        <w:numPr>
          <w:ilvl w:val="0"/>
          <w:numId w:val="1"/>
        </w:numPr>
        <w:ind w:left="-283.464566929133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консультативний супровід громади впродовж усього періоду роботи над документом;</w:t>
      </w:r>
    </w:p>
    <w:p w:rsidR="00000000" w:rsidDel="00000000" w:rsidP="00000000" w:rsidRDefault="00000000" w:rsidRPr="00000000" w14:paraId="0000001D">
      <w:pPr>
        <w:numPr>
          <w:ilvl w:val="0"/>
          <w:numId w:val="1"/>
        </w:numPr>
        <w:ind w:left="-283.464566929133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фінальну офлайн публічну презентацію напрацьованого документу та організацію обговорення в громаді.</w:t>
      </w:r>
      <w:r w:rsidDel="00000000" w:rsidR="00000000" w:rsidRPr="00000000">
        <w:rPr>
          <w:rtl w:val="0"/>
        </w:rPr>
      </w:r>
    </w:p>
    <w:p w:rsidR="00000000" w:rsidDel="00000000" w:rsidP="00000000" w:rsidRDefault="00000000" w:rsidRPr="00000000" w14:paraId="0000001E">
      <w:pPr>
        <w:ind w:left="-283.4645669291337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ind w:left="-283.464566929133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Однією з ключових вимог є дотримання партисипативного методу роботи, який передбачає залучення до процесу напрацювання фандрейзингової стратегії в громаді представників різних стейкхолдерів, як то ОМС, представники громадського сектору, особливо ГО, які представляють інтереси вразливих груп населення в громаді, молоді, та інших активних груп громади, для врахування інтересів широкого кола груп та залучення їх до впровадження проєктів в громаді.  </w:t>
      </w:r>
    </w:p>
    <w:p w:rsidR="00000000" w:rsidDel="00000000" w:rsidP="00000000" w:rsidRDefault="00000000" w:rsidRPr="00000000" w14:paraId="00000020">
      <w:pPr>
        <w:ind w:left="-283.4645669291337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ind w:left="-283.464566929133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Загальний орієнтовний обсяг залученості надавача послуг - 120 годин.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3.46456692913375"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3.46456692913375" w:right="0" w:firstLine="0"/>
        <w:jc w:val="both"/>
        <w:rPr>
          <w:rFonts w:ascii="Times New Roman" w:cs="Times New Roman" w:eastAsia="Times New Roman" w:hAnsi="Times New Roman"/>
          <w:b w:val="0"/>
          <w:bCs w:val="0"/>
          <w:i w:val="0"/>
          <w:iCs w:val="0"/>
          <w:smallCaps w:val="0"/>
          <w:strike w:val="0"/>
          <w:color w:val="000000"/>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vertAlign w:val="baseline"/>
          <w:rtl w:val="0"/>
        </w:rPr>
        <w:t xml:space="preserve">Цільова аудиторія:</w:t>
      </w:r>
      <w:r w:rsidDel="00000000" w:rsidR="00000000" w:rsidRPr="00000000">
        <w:rPr>
          <w:rFonts w:ascii="Times New Roman" w:cs="Times New Roman" w:eastAsia="Times New Roman" w:hAnsi="Times New Roman"/>
          <w:b w:val="0"/>
          <w:bCs w:val="0"/>
          <w:i w:val="0"/>
          <w:iCs w:val="0"/>
          <w:smallCaps w:val="0"/>
          <w:strike w:val="0"/>
          <w:color w:val="000000"/>
          <w:u w:val="none"/>
          <w:vertAlign w:val="baseline"/>
          <w:rtl w:val="0"/>
        </w:rPr>
        <w:t xml:space="preserve"> представники органів місцевого самоврядування, інші місцеві стейкхолдери в</w:t>
      </w:r>
      <w:r w:rsidDel="00000000" w:rsidR="00000000" w:rsidRPr="00000000">
        <w:rPr>
          <w:rFonts w:ascii="Times New Roman" w:cs="Times New Roman" w:eastAsia="Times New Roman" w:hAnsi="Times New Roman"/>
          <w:rtl w:val="0"/>
        </w:rPr>
        <w:t xml:space="preserve"> Зеленодольської</w:t>
      </w:r>
      <w:r w:rsidDel="00000000" w:rsidR="00000000" w:rsidRPr="00000000">
        <w:rPr>
          <w:rFonts w:ascii="Times New Roman" w:cs="Times New Roman" w:eastAsia="Times New Roman" w:hAnsi="Times New Roman"/>
          <w:b w:val="0"/>
          <w:bCs w:val="0"/>
          <w:i w:val="0"/>
          <w:iCs w:val="0"/>
          <w:smallCaps w:val="0"/>
          <w:strike w:val="0"/>
          <w:color w:val="000000"/>
          <w:u w:val="none"/>
          <w:vertAlign w:val="baseline"/>
          <w:rtl w:val="0"/>
        </w:rPr>
        <w:t xml:space="preserve"> територіальн</w:t>
      </w:r>
      <w:r w:rsidDel="00000000" w:rsidR="00000000" w:rsidRPr="00000000">
        <w:rPr>
          <w:rFonts w:ascii="Times New Roman" w:cs="Times New Roman" w:eastAsia="Times New Roman" w:hAnsi="Times New Roman"/>
          <w:rtl w:val="0"/>
        </w:rPr>
        <w:t xml:space="preserve">ій</w:t>
      </w:r>
      <w:r w:rsidDel="00000000" w:rsidR="00000000" w:rsidRPr="00000000">
        <w:rPr>
          <w:rFonts w:ascii="Times New Roman" w:cs="Times New Roman" w:eastAsia="Times New Roman" w:hAnsi="Times New Roman"/>
          <w:b w:val="0"/>
          <w:bCs w:val="0"/>
          <w:i w:val="0"/>
          <w:iCs w:val="0"/>
          <w:smallCaps w:val="0"/>
          <w:strike w:val="0"/>
          <w:color w:val="000000"/>
          <w:u w:val="none"/>
          <w:vertAlign w:val="baseline"/>
          <w:rtl w:val="0"/>
        </w:rPr>
        <w:t xml:space="preserve"> громад</w:t>
      </w:r>
      <w:r w:rsidDel="00000000" w:rsidR="00000000" w:rsidRPr="00000000">
        <w:rPr>
          <w:rFonts w:ascii="Times New Roman" w:cs="Times New Roman" w:eastAsia="Times New Roman" w:hAnsi="Times New Roman"/>
          <w:rtl w:val="0"/>
        </w:rPr>
        <w:t xml:space="preserve">і</w:t>
      </w:r>
      <w:r w:rsidDel="00000000" w:rsidR="00000000" w:rsidRPr="00000000">
        <w:rPr>
          <w:rFonts w:ascii="Times New Roman" w:cs="Times New Roman" w:eastAsia="Times New Roman" w:hAnsi="Times New Roman"/>
          <w:b w:val="0"/>
          <w:bCs w:val="0"/>
          <w:i w:val="0"/>
          <w:iCs w:val="0"/>
          <w:smallCaps w:val="0"/>
          <w:strike w:val="0"/>
          <w:color w:val="000000"/>
          <w:u w:val="none"/>
          <w:vertAlign w:val="baseline"/>
          <w:rtl w:val="0"/>
        </w:rPr>
        <w:t xml:space="preserve"> </w:t>
      </w:r>
      <w:r w:rsidDel="00000000" w:rsidR="00000000" w:rsidRPr="00000000">
        <w:rPr>
          <w:rFonts w:ascii="Times New Roman" w:cs="Times New Roman" w:eastAsia="Times New Roman" w:hAnsi="Times New Roman"/>
          <w:rtl w:val="0"/>
        </w:rPr>
        <w:t xml:space="preserve">Дніпропетровської</w:t>
      </w:r>
      <w:r w:rsidDel="00000000" w:rsidR="00000000" w:rsidRPr="00000000">
        <w:rPr>
          <w:rFonts w:ascii="Times New Roman" w:cs="Times New Roman" w:eastAsia="Times New Roman" w:hAnsi="Times New Roman"/>
          <w:b w:val="0"/>
          <w:bCs w:val="0"/>
          <w:i w:val="0"/>
          <w:iCs w:val="0"/>
          <w:smallCaps w:val="0"/>
          <w:strike w:val="0"/>
          <w:color w:val="000000"/>
          <w:u w:val="none"/>
          <w:vertAlign w:val="baseline"/>
          <w:rtl w:val="0"/>
        </w:rPr>
        <w:t xml:space="preserve"> області (працівники комунальних установ, представники громадських об’єднань, молодь, активні члени громади, у тому числі внутрішньо переміщені особи, одинокі / багатодітні батьки, особи з інвалідністю, постраждалі від воєнних дій та інші), зацікавлені у розвитку громади та залученні фінансування.</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283.46456692913375" w:right="0" w:firstLine="0"/>
        <w:jc w:val="both"/>
        <w:rPr>
          <w:rFonts w:ascii="Times New Roman" w:cs="Times New Roman" w:eastAsia="Times New Roman" w:hAnsi="Times New Roman"/>
          <w:b w:val="0"/>
          <w:bCs w:val="0"/>
          <w:i w:val="0"/>
          <w:iCs w:val="0"/>
          <w:smallCaps w:val="0"/>
          <w:strike w:val="0"/>
          <w:color w:val="000000"/>
          <w:u w:val="none"/>
          <w:vertAlign w:val="baseline"/>
        </w:rPr>
      </w:pPr>
      <w:r w:rsidDel="00000000" w:rsidR="00000000" w:rsidRPr="00000000">
        <w:rPr>
          <w:rtl w:val="0"/>
        </w:rPr>
      </w:r>
    </w:p>
    <w:p w:rsidR="00000000" w:rsidDel="00000000" w:rsidP="00000000" w:rsidRDefault="00000000" w:rsidRPr="00000000" w14:paraId="00000025">
      <w:pPr>
        <w:spacing w:after="0" w:lineRule="auto"/>
        <w:ind w:left="-283.464566929133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Мета надання послуги:</w:t>
      </w:r>
      <w:r w:rsidDel="00000000" w:rsidR="00000000" w:rsidRPr="00000000">
        <w:rPr>
          <w:rFonts w:ascii="Times New Roman" w:cs="Times New Roman" w:eastAsia="Times New Roman" w:hAnsi="Times New Roman"/>
          <w:rtl w:val="0"/>
        </w:rPr>
        <w:t xml:space="preserve"> забезпечити територіальну громаду дієвими інструментами для залучення додаткових ресурсів, підвищити спроможність учасників цільової аудиторії розробляти якісні проєктні заявки та брати участь у грантових конкурсах.</w:t>
      </w:r>
    </w:p>
    <w:p w:rsidR="00000000" w:rsidDel="00000000" w:rsidP="00000000" w:rsidRDefault="00000000" w:rsidRPr="00000000" w14:paraId="00000026">
      <w:pPr>
        <w:spacing w:after="0" w:lineRule="auto"/>
        <w:ind w:left="-283.4645669291337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spacing w:after="0" w:lineRule="auto"/>
        <w:ind w:left="-283.46456692913375"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Результат надання послуги:</w:t>
      </w:r>
    </w:p>
    <w:p w:rsidR="00000000" w:rsidDel="00000000" w:rsidP="00000000" w:rsidRDefault="00000000" w:rsidRPr="00000000" w14:paraId="00000028">
      <w:pPr>
        <w:numPr>
          <w:ilvl w:val="0"/>
          <w:numId w:val="2"/>
        </w:numPr>
        <w:spacing w:after="0" w:lineRule="auto"/>
        <w:ind w:left="-283.464566929133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менторський супровід впродовж усього періоду роботи, в результаті якої  має бути розроблена фандрейзингова стратегія громади із залученням широкого кола представників органів місцевого самоврядування та інших місцевих стейкхолдерів, що включає аналіз стану громади, перелік потенційних джерел фінансування, рекомендації щодо залучення ресурсів тощо;</w:t>
      </w:r>
    </w:p>
    <w:p w:rsidR="00000000" w:rsidDel="00000000" w:rsidP="00000000" w:rsidRDefault="00000000" w:rsidRPr="00000000" w14:paraId="00000029">
      <w:pPr>
        <w:numPr>
          <w:ilvl w:val="0"/>
          <w:numId w:val="2"/>
        </w:numPr>
        <w:spacing w:after="0" w:lineRule="auto"/>
        <w:ind w:left="-283.464566929133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підвищено спроможність </w:t>
      </w:r>
      <w:r w:rsidDel="00000000" w:rsidR="00000000" w:rsidRPr="00000000">
        <w:rPr>
          <w:rFonts w:ascii="Times New Roman" w:cs="Times New Roman" w:eastAsia="Times New Roman" w:hAnsi="Times New Roman"/>
          <w:rtl w:val="0"/>
        </w:rPr>
        <w:t xml:space="preserve">громади</w:t>
      </w:r>
      <w:r w:rsidDel="00000000" w:rsidR="00000000" w:rsidRPr="00000000">
        <w:rPr>
          <w:rFonts w:ascii="Times New Roman" w:cs="Times New Roman" w:eastAsia="Times New Roman" w:hAnsi="Times New Roman"/>
          <w:color w:val="000000"/>
          <w:rtl w:val="0"/>
        </w:rPr>
        <w:t xml:space="preserve"> у самостійному </w:t>
      </w:r>
      <w:r w:rsidDel="00000000" w:rsidR="00000000" w:rsidRPr="00000000">
        <w:rPr>
          <w:rFonts w:ascii="Times New Roman" w:cs="Times New Roman" w:eastAsia="Times New Roman" w:hAnsi="Times New Roman"/>
          <w:rtl w:val="0"/>
        </w:rPr>
        <w:t xml:space="preserve">залученні </w:t>
      </w:r>
      <w:r w:rsidDel="00000000" w:rsidR="00000000" w:rsidRPr="00000000">
        <w:rPr>
          <w:rFonts w:ascii="Times New Roman" w:cs="Times New Roman" w:eastAsia="Times New Roman" w:hAnsi="Times New Roman"/>
          <w:color w:val="000000"/>
          <w:rtl w:val="0"/>
        </w:rPr>
        <w:t xml:space="preserve">додаткових ресурс</w:t>
      </w:r>
      <w:r w:rsidDel="00000000" w:rsidR="00000000" w:rsidRPr="00000000">
        <w:rPr>
          <w:rFonts w:ascii="Times New Roman" w:cs="Times New Roman" w:eastAsia="Times New Roman" w:hAnsi="Times New Roman"/>
          <w:rtl w:val="0"/>
        </w:rPr>
        <w:t xml:space="preserve">ів</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учасники тренінгу отримали практичні навички завдяки складанню готових проєктних заявок.</w:t>
      </w:r>
    </w:p>
    <w:p w:rsidR="00000000" w:rsidDel="00000000" w:rsidP="00000000" w:rsidRDefault="00000000" w:rsidRPr="00000000" w14:paraId="0000002A">
      <w:pPr>
        <w:spacing w:after="0" w:lineRule="auto"/>
        <w:ind w:left="-283.4645669291337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pacing w:after="0" w:lineRule="auto"/>
        <w:ind w:left="-283.46456692913375"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Вимоги до виконавця:</w:t>
      </w:r>
    </w:p>
    <w:p w:rsidR="00000000" w:rsidDel="00000000" w:rsidP="00000000" w:rsidRDefault="00000000" w:rsidRPr="00000000" w14:paraId="0000002C">
      <w:pPr>
        <w:numPr>
          <w:ilvl w:val="0"/>
          <w:numId w:val="3"/>
        </w:numPr>
        <w:spacing w:after="0" w:lineRule="auto"/>
        <w:ind w:left="-283.464566929133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досвід написання грантових заявок та залучення грантового фінансування в громади та/або неурядові організації;</w:t>
      </w:r>
    </w:p>
    <w:p w:rsidR="00000000" w:rsidDel="00000000" w:rsidP="00000000" w:rsidRDefault="00000000" w:rsidRPr="00000000" w14:paraId="0000002D">
      <w:pPr>
        <w:numPr>
          <w:ilvl w:val="0"/>
          <w:numId w:val="3"/>
        </w:numPr>
        <w:spacing w:after="120" w:lineRule="auto"/>
        <w:ind w:left="-283.464566929133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досвід роботи із органами державної влади та місцевого самоврядування;</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283.46456692913375" w:right="0" w:firstLine="0"/>
        <w:jc w:val="both"/>
        <w:rPr>
          <w:rFonts w:ascii="Times New Roman" w:cs="Times New Roman" w:eastAsia="Times New Roman" w:hAnsi="Times New Roman"/>
          <w:b w:val="0"/>
          <w:bCs w:val="0"/>
          <w:i w:val="0"/>
          <w:iCs w:val="0"/>
          <w:smallCaps w:val="0"/>
          <w:strike w:val="0"/>
          <w:color w:val="000000"/>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vertAlign w:val="baseline"/>
          <w:rtl w:val="0"/>
        </w:rPr>
        <w:t xml:space="preserve">досвід співпраці з благодійними фондами та соціальними проєктами надасть перевагу;</w:t>
      </w:r>
      <w:r w:rsidDel="00000000" w:rsidR="00000000" w:rsidRPr="00000000">
        <w:rPr>
          <w:rtl w:val="0"/>
        </w:rPr>
      </w:r>
    </w:p>
    <w:p w:rsidR="00000000" w:rsidDel="00000000" w:rsidP="00000000" w:rsidRDefault="00000000" w:rsidRPr="00000000" w14:paraId="0000002F">
      <w:pPr>
        <w:numPr>
          <w:ilvl w:val="0"/>
          <w:numId w:val="3"/>
        </w:numPr>
        <w:spacing w:after="0" w:lineRule="auto"/>
        <w:ind w:left="-283.464566929133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готовність до поїздок </w:t>
      </w:r>
      <w:r w:rsidDel="00000000" w:rsidR="00000000" w:rsidRPr="00000000">
        <w:rPr>
          <w:rFonts w:ascii="Times New Roman" w:cs="Times New Roman" w:eastAsia="Times New Roman" w:hAnsi="Times New Roman"/>
          <w:rtl w:val="0"/>
        </w:rPr>
        <w:t xml:space="preserve">у межах визначеної території; </w:t>
      </w:r>
    </w:p>
    <w:p w:rsidR="00000000" w:rsidDel="00000000" w:rsidP="00000000" w:rsidRDefault="00000000" w:rsidRPr="00000000" w14:paraId="00000030">
      <w:pPr>
        <w:numPr>
          <w:ilvl w:val="0"/>
          <w:numId w:val="3"/>
        </w:numPr>
        <w:spacing w:after="0" w:lineRule="auto"/>
        <w:ind w:left="-283.464566929133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вища освіта в галузі економічного розвитку, фінансів, адміністрування або суміжних галузях.</w:t>
      </w:r>
    </w:p>
    <w:p w:rsidR="00000000" w:rsidDel="00000000" w:rsidP="00000000" w:rsidRDefault="00000000" w:rsidRPr="00000000" w14:paraId="00000031">
      <w:pPr>
        <w:spacing w:after="0" w:lineRule="auto"/>
        <w:ind w:left="-283.4645669291337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spacing w:after="0" w:lineRule="auto"/>
        <w:ind w:left="-283.46456692913375"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Умови співпраці:</w:t>
      </w:r>
    </w:p>
    <w:p w:rsidR="00000000" w:rsidDel="00000000" w:rsidP="00000000" w:rsidRDefault="00000000" w:rsidRPr="00000000" w14:paraId="00000033">
      <w:pPr>
        <w:ind w:left="-283.46456692913375"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Учасником тендеру є ФОП чи юридична особа, що подає свою пропозицію на участь у тендері. Виконавець (надавач послуг)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rsidR="00000000" w:rsidDel="00000000" w:rsidP="00000000" w:rsidRDefault="00000000" w:rsidRPr="00000000" w14:paraId="00000034">
      <w:pPr>
        <w:ind w:left="-283.46456692913375"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Всі розрахунки здійснюються виключно у національній валюті України (гривні)</w:t>
      </w:r>
    </w:p>
    <w:p w:rsidR="00000000" w:rsidDel="00000000" w:rsidP="00000000" w:rsidRDefault="00000000" w:rsidRPr="00000000" w14:paraId="00000035">
      <w:pPr>
        <w:ind w:left="-283.46456692913375"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шляхом банківського переказу на поточний рахунок фізичної особи підприємця чи юридичної особи  - постачальника послуг протягом 7 робочих днів з дати підписання Акту виконаних робіт.  Акт виконаних робіт має бути поданий кожного місяця, протягом 7 днів станом на перше число кожного місяця відповідно до обсягу наданих послуг за звітний період.</w:t>
      </w:r>
    </w:p>
    <w:p w:rsidR="00000000" w:rsidDel="00000000" w:rsidP="00000000" w:rsidRDefault="00000000" w:rsidRPr="00000000" w14:paraId="00000036">
      <w:pPr>
        <w:ind w:left="-283.46456692913375"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Фонд має право анулювати тендер в будь-який час до заключення договору з надавачем послуг і не несе за це відповідальність.</w:t>
      </w:r>
    </w:p>
    <w:p w:rsidR="00000000" w:rsidDel="00000000" w:rsidP="00000000" w:rsidRDefault="00000000" w:rsidRPr="00000000" w14:paraId="00000037">
      <w:pPr>
        <w:ind w:left="-283.46456692913375"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 у будь-який момент, але не пізніше як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p>
    <w:p w:rsidR="00000000" w:rsidDel="00000000" w:rsidP="00000000" w:rsidRDefault="00000000" w:rsidRPr="00000000" w14:paraId="00000038">
      <w:pPr>
        <w:ind w:left="-283.46456692913375"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 не має перебувати в процесі припинення діяльності ФОП або юридичної особи.</w:t>
      </w:r>
    </w:p>
    <w:p w:rsidR="00000000" w:rsidDel="00000000" w:rsidP="00000000" w:rsidRDefault="00000000" w:rsidRPr="00000000" w14:paraId="00000039">
      <w:pPr>
        <w:spacing w:after="240" w:before="240" w:lineRule="auto"/>
        <w:ind w:left="-283.464566929133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Цінові пропозиції учасників подаються без урахування ПДВ.</w:t>
      </w:r>
    </w:p>
    <w:p w:rsidR="00000000" w:rsidDel="00000000" w:rsidP="00000000" w:rsidRDefault="00000000" w:rsidRPr="00000000" w14:paraId="0000003A">
      <w:pPr>
        <w:spacing w:after="0" w:lineRule="auto"/>
        <w:ind w:left="-283.464566929133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u w:val="single"/>
          <w:rtl w:val="0"/>
        </w:rPr>
        <w:t xml:space="preserve">Просимо надати пропозицію, яка включатиме:</w:t>
      </w:r>
      <w:r w:rsidDel="00000000" w:rsidR="00000000" w:rsidRPr="00000000">
        <w:rPr>
          <w:rtl w:val="0"/>
        </w:rPr>
      </w:r>
    </w:p>
    <w:p w:rsidR="00000000" w:rsidDel="00000000" w:rsidP="00000000" w:rsidRDefault="00000000" w:rsidRPr="00000000" w14:paraId="0000003B">
      <w:pPr>
        <w:numPr>
          <w:ilvl w:val="0"/>
          <w:numId w:val="4"/>
        </w:numPr>
        <w:ind w:left="-283.46456692913375"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rtl w:val="0"/>
        </w:rPr>
        <w:t xml:space="preserve">Реєстраційні документи</w:t>
      </w:r>
      <w:r w:rsidDel="00000000" w:rsidR="00000000" w:rsidRPr="00000000">
        <w:rPr>
          <w:rFonts w:ascii="Times New Roman" w:cs="Times New Roman" w:eastAsia="Times New Roman" w:hAnsi="Times New Roman"/>
          <w:rtl w:val="0"/>
        </w:rPr>
        <w:t xml:space="preserve"> юридичної особи / ФОПа;</w:t>
      </w:r>
    </w:p>
    <w:p w:rsidR="00000000" w:rsidDel="00000000" w:rsidP="00000000" w:rsidRDefault="00000000" w:rsidRPr="00000000" w14:paraId="0000003C">
      <w:pPr>
        <w:numPr>
          <w:ilvl w:val="0"/>
          <w:numId w:val="4"/>
        </w:numPr>
        <w:spacing w:after="0" w:lineRule="auto"/>
        <w:ind w:left="-283.46456692913375"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bCs w:val="1"/>
          <w:rtl w:val="0"/>
        </w:rPr>
        <w:t xml:space="preserve">Резюме виконавця </w:t>
      </w:r>
      <w:r w:rsidDel="00000000" w:rsidR="00000000" w:rsidRPr="00000000">
        <w:rPr>
          <w:rFonts w:ascii="Times New Roman" w:cs="Times New Roman" w:eastAsia="Times New Roman" w:hAnsi="Times New Roman"/>
          <w:rtl w:val="0"/>
        </w:rPr>
        <w:t xml:space="preserve">(надавача послуг), який буде надавати послугу, опис його кваліфікації, рівень освіти, досвід роботи, включаючи інформацію про попередній дотичний досвід</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3D">
      <w:pPr>
        <w:numPr>
          <w:ilvl w:val="0"/>
          <w:numId w:val="4"/>
        </w:numPr>
        <w:spacing w:after="0" w:lineRule="auto"/>
        <w:ind w:left="-283.46456692913375"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bCs w:val="1"/>
          <w:rtl w:val="0"/>
        </w:rPr>
        <w:t xml:space="preserve">О</w:t>
      </w:r>
      <w:r w:rsidDel="00000000" w:rsidR="00000000" w:rsidRPr="00000000">
        <w:rPr>
          <w:rFonts w:ascii="Times New Roman" w:cs="Times New Roman" w:eastAsia="Times New Roman" w:hAnsi="Times New Roman"/>
          <w:b w:val="1"/>
          <w:bCs w:val="1"/>
          <w:color w:val="000000"/>
          <w:rtl w:val="0"/>
        </w:rPr>
        <w:t xml:space="preserve">пис свого бачення</w:t>
      </w:r>
      <w:r w:rsidDel="00000000" w:rsidR="00000000" w:rsidRPr="00000000">
        <w:rPr>
          <w:rFonts w:ascii="Times New Roman" w:cs="Times New Roman" w:eastAsia="Times New Roman" w:hAnsi="Times New Roman"/>
          <w:color w:val="000000"/>
          <w:rtl w:val="0"/>
        </w:rPr>
        <w:t xml:space="preserve"> вирішення завдання у вигляді розробленої програми консультаційного супроводу з питань розроблення фандрейзингової стратегії;</w:t>
      </w:r>
    </w:p>
    <w:p w:rsidR="00000000" w:rsidDel="00000000" w:rsidP="00000000" w:rsidRDefault="00000000" w:rsidRPr="00000000" w14:paraId="0000003E">
      <w:pPr>
        <w:numPr>
          <w:ilvl w:val="0"/>
          <w:numId w:val="4"/>
        </w:numPr>
        <w:ind w:left="-283.46456692913375"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rtl w:val="0"/>
        </w:rPr>
        <w:t xml:space="preserve">Інформація про досвід</w:t>
      </w:r>
      <w:r w:rsidDel="00000000" w:rsidR="00000000" w:rsidRPr="00000000">
        <w:rPr>
          <w:rFonts w:ascii="Times New Roman" w:cs="Times New Roman" w:eastAsia="Times New Roman" w:hAnsi="Times New Roman"/>
          <w:rtl w:val="0"/>
        </w:rPr>
        <w:t xml:space="preserve"> виконавця, який надаватиме послуги, щодо співпраці з органами місцевого самоврядування та громадми (договори про співпрацю, рекомендаційні листи, інші підтверджуючі документи - за наявності)</w:t>
      </w:r>
    </w:p>
    <w:p w:rsidR="00000000" w:rsidDel="00000000" w:rsidP="00000000" w:rsidRDefault="00000000" w:rsidRPr="00000000" w14:paraId="0000003F">
      <w:pPr>
        <w:numPr>
          <w:ilvl w:val="0"/>
          <w:numId w:val="4"/>
        </w:numPr>
        <w:spacing w:after="0" w:lineRule="auto"/>
        <w:ind w:left="-283.46456692913375"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bCs w:val="1"/>
          <w:rtl w:val="0"/>
        </w:rPr>
        <w:t xml:space="preserve">Ц</w:t>
      </w:r>
      <w:r w:rsidDel="00000000" w:rsidR="00000000" w:rsidRPr="00000000">
        <w:rPr>
          <w:rFonts w:ascii="Times New Roman" w:cs="Times New Roman" w:eastAsia="Times New Roman" w:hAnsi="Times New Roman"/>
          <w:b w:val="1"/>
          <w:bCs w:val="1"/>
          <w:color w:val="000000"/>
          <w:rtl w:val="0"/>
        </w:rPr>
        <w:t xml:space="preserve">інову пропозицію,</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в якій просимо зазначити </w:t>
      </w:r>
      <w:r w:rsidDel="00000000" w:rsidR="00000000" w:rsidRPr="00000000">
        <w:rPr>
          <w:rFonts w:ascii="Times New Roman" w:cs="Times New Roman" w:eastAsia="Times New Roman" w:hAnsi="Times New Roman"/>
          <w:b w:val="1"/>
          <w:bCs w:val="1"/>
          <w:color w:val="000000"/>
          <w:u w:val="single"/>
          <w:rtl w:val="0"/>
        </w:rPr>
        <w:t xml:space="preserve">вартість менторського супроводу за 1 годину. У вартість додати всі витрати</w:t>
      </w:r>
      <w:r w:rsidDel="00000000" w:rsidR="00000000" w:rsidRPr="00000000">
        <w:rPr>
          <w:rFonts w:ascii="Times New Roman" w:cs="Times New Roman" w:eastAsia="Times New Roman" w:hAnsi="Times New Roman"/>
          <w:b w:val="1"/>
          <w:bCs w:val="1"/>
          <w:u w:val="single"/>
          <w:rtl w:val="0"/>
        </w:rPr>
        <w:t xml:space="preserve">, необхідні для надання послуги (проїзд, проживання, харчування тощо).</w:t>
      </w:r>
      <w:r w:rsidDel="00000000" w:rsidR="00000000" w:rsidRPr="00000000">
        <w:rPr>
          <w:rtl w:val="0"/>
        </w:rPr>
      </w:r>
    </w:p>
    <w:p w:rsidR="00000000" w:rsidDel="00000000" w:rsidP="00000000" w:rsidRDefault="00000000" w:rsidRPr="00000000" w14:paraId="00000040">
      <w:pPr>
        <w:numPr>
          <w:ilvl w:val="0"/>
          <w:numId w:val="4"/>
        </w:numPr>
        <w:ind w:left="-283.46456692913375"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Контактну інформацію виконавця/надавача послуг (учасника);</w:t>
      </w:r>
    </w:p>
    <w:p w:rsidR="00000000" w:rsidDel="00000000" w:rsidP="00000000" w:rsidRDefault="00000000" w:rsidRPr="00000000" w14:paraId="00000041">
      <w:pPr>
        <w:spacing w:after="0" w:lineRule="auto"/>
        <w:ind w:left="-283.46456692913375"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spacing w:after="0" w:lineRule="auto"/>
        <w:ind w:left="-283.46456692913375"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Витрати на проїзд, проживання, харчування виконавця (надавача послуг) окремо не покривається.</w:t>
      </w:r>
    </w:p>
    <w:p w:rsidR="00000000" w:rsidDel="00000000" w:rsidP="00000000" w:rsidRDefault="00000000" w:rsidRPr="00000000" w14:paraId="00000043">
      <w:pPr>
        <w:spacing w:after="0" w:lineRule="auto"/>
        <w:ind w:left="-283.464566929133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Критеріями вибору переможця(ів) будуть: </w:t>
      </w:r>
      <w:r w:rsidDel="00000000" w:rsidR="00000000" w:rsidRPr="00000000">
        <w:rPr>
          <w:rtl w:val="0"/>
        </w:rPr>
      </w:r>
    </w:p>
    <w:p w:rsidR="00000000" w:rsidDel="00000000" w:rsidP="00000000" w:rsidRDefault="00000000" w:rsidRPr="00000000" w14:paraId="00000044">
      <w:pPr>
        <w:numPr>
          <w:ilvl w:val="0"/>
          <w:numId w:val="5"/>
        </w:numPr>
        <w:spacing w:after="0" w:lineRule="auto"/>
        <w:ind w:left="-283.46456692913375"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rtl w:val="0"/>
        </w:rPr>
        <w:t xml:space="preserve">Експертиза та досвід </w:t>
      </w:r>
      <w:r w:rsidDel="00000000" w:rsidR="00000000" w:rsidRPr="00000000">
        <w:rPr>
          <w:rFonts w:ascii="Times New Roman" w:cs="Times New Roman" w:eastAsia="Times New Roman" w:hAnsi="Times New Roman"/>
          <w:rtl w:val="0"/>
        </w:rPr>
        <w:t xml:space="preserve">виконавця (надавача послуг)</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45">
      <w:pPr>
        <w:numPr>
          <w:ilvl w:val="0"/>
          <w:numId w:val="5"/>
        </w:numPr>
        <w:spacing w:after="0" w:lineRule="auto"/>
        <w:ind w:left="-283.46456692913375"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rtl w:val="0"/>
        </w:rPr>
        <w:t xml:space="preserve">З</w:t>
      </w:r>
      <w:r w:rsidDel="00000000" w:rsidR="00000000" w:rsidRPr="00000000">
        <w:rPr>
          <w:rFonts w:ascii="Times New Roman" w:cs="Times New Roman" w:eastAsia="Times New Roman" w:hAnsi="Times New Roman"/>
          <w:color w:val="000000"/>
          <w:rtl w:val="0"/>
        </w:rPr>
        <w:t xml:space="preserve">раз</w:t>
      </w:r>
      <w:r w:rsidDel="00000000" w:rsidR="00000000" w:rsidRPr="00000000">
        <w:rPr>
          <w:rFonts w:ascii="Times New Roman" w:cs="Times New Roman" w:eastAsia="Times New Roman" w:hAnsi="Times New Roman"/>
          <w:rtl w:val="0"/>
        </w:rPr>
        <w:t xml:space="preserve">ок</w:t>
      </w:r>
      <w:r w:rsidDel="00000000" w:rsidR="00000000" w:rsidRPr="00000000">
        <w:rPr>
          <w:rFonts w:ascii="Times New Roman" w:cs="Times New Roman" w:eastAsia="Times New Roman" w:hAnsi="Times New Roman"/>
          <w:color w:val="000000"/>
          <w:rtl w:val="0"/>
        </w:rPr>
        <w:t xml:space="preserve"> розробленої програми консультаційного супроводу з питань розроблення фандрейзингової стратегії;</w:t>
      </w:r>
    </w:p>
    <w:p w:rsidR="00000000" w:rsidDel="00000000" w:rsidP="00000000" w:rsidRDefault="00000000" w:rsidRPr="00000000" w14:paraId="00000046">
      <w:pPr>
        <w:numPr>
          <w:ilvl w:val="0"/>
          <w:numId w:val="5"/>
        </w:numPr>
        <w:spacing w:after="0" w:lineRule="auto"/>
        <w:ind w:left="-283.46456692913375"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rtl w:val="0"/>
        </w:rPr>
        <w:t xml:space="preserve">Досвід співпраці виконавця (надавача послуг) з органами місцевого самоврядування та громадами</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47">
      <w:pPr>
        <w:numPr>
          <w:ilvl w:val="0"/>
          <w:numId w:val="5"/>
        </w:numPr>
        <w:spacing w:after="0" w:lineRule="auto"/>
        <w:ind w:left="-283.46456692913375"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rtl w:val="0"/>
        </w:rPr>
        <w:t xml:space="preserve">Фінансова складова</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8">
      <w:pPr>
        <w:numPr>
          <w:ilvl w:val="0"/>
          <w:numId w:val="5"/>
        </w:numPr>
        <w:spacing w:after="0" w:lineRule="auto"/>
        <w:ind w:left="-283.46456692913375"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Результати співбесіди.</w:t>
      </w:r>
    </w:p>
    <w:p w:rsidR="00000000" w:rsidDel="00000000" w:rsidP="00000000" w:rsidRDefault="00000000" w:rsidRPr="00000000" w14:paraId="00000049">
      <w:pPr>
        <w:spacing w:after="0" w:lineRule="auto"/>
        <w:ind w:left="-283.46456692913375"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A">
      <w:pPr>
        <w:spacing w:after="0" w:lineRule="auto"/>
        <w:ind w:left="-283.46456692913375"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Пропозиція повинна бути складена </w:t>
      </w:r>
      <w:r w:rsidDel="00000000" w:rsidR="00000000" w:rsidRPr="00000000">
        <w:rPr>
          <w:rFonts w:ascii="Times New Roman" w:cs="Times New Roman" w:eastAsia="Times New Roman" w:hAnsi="Times New Roman"/>
          <w:color w:val="000000"/>
          <w:u w:val="single"/>
          <w:rtl w:val="0"/>
        </w:rPr>
        <w:t xml:space="preserve">українською мовою</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4B">
      <w:pPr>
        <w:spacing w:after="0" w:lineRule="auto"/>
        <w:ind w:left="-283.4645669291337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spacing w:after="0" w:lineRule="auto"/>
        <w:ind w:left="-283.46456692913375" w:firstLine="0"/>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Оцінювання тендерних пропозицій буде складатися на 70% з оцінки технічних пропозицій та на 30% з оцінки цінових пропозицій.</w:t>
      </w:r>
    </w:p>
    <w:tbl>
      <w:tblPr>
        <w:tblStyle w:val="Table1"/>
        <w:tblW w:w="10545.0" w:type="dxa"/>
        <w:jc w:val="left"/>
        <w:tblInd w:w="-6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05"/>
        <w:gridCol w:w="1875"/>
        <w:gridCol w:w="6885"/>
        <w:gridCol w:w="1080"/>
        <w:tblGridChange w:id="0">
          <w:tblGrid>
            <w:gridCol w:w="705"/>
            <w:gridCol w:w="1875"/>
            <w:gridCol w:w="6885"/>
            <w:gridCol w:w="1080"/>
          </w:tblGrid>
        </w:tblGridChange>
      </w:tblGrid>
      <w:tr>
        <w:trPr>
          <w:cantSplit w:val="0"/>
          <w:trHeight w:val="227" w:hRule="atLeast"/>
          <w:tblHeader w:val="0"/>
        </w:trPr>
        <w:tc>
          <w:tcPr>
            <w:gridSpan w:val="4"/>
            <w:tcBorders>
              <w:top w:color="000000" w:space="0" w:sz="5" w:val="single"/>
              <w:left w:color="000000" w:space="0" w:sz="5" w:val="single"/>
              <w:bottom w:color="000000" w:space="0" w:sz="5" w:val="single"/>
              <w:right w:color="000000" w:space="0" w:sz="5" w:val="single"/>
            </w:tcBorders>
            <w:shd w:fill="dbe5f1" w:val="clear"/>
            <w:tcMar>
              <w:top w:w="0.0" w:type="dxa"/>
              <w:left w:w="40.0" w:type="dxa"/>
              <w:bottom w:w="0.0" w:type="dxa"/>
              <w:right w:w="40.0" w:type="dxa"/>
            </w:tcMar>
          </w:tcPr>
          <w:p w:rsidR="00000000" w:rsidDel="00000000" w:rsidP="00000000" w:rsidRDefault="00000000" w:rsidRPr="00000000" w14:paraId="0000004D">
            <w:pPr>
              <w:widowControl w:val="0"/>
              <w:spacing w:before="240" w:lineRule="auto"/>
              <w:ind w:left="-283.46456692913375" w:firstLine="0"/>
              <w:jc w:val="both"/>
              <w:rPr>
                <w:rFonts w:ascii="Times New Roman" w:cs="Times New Roman" w:eastAsia="Times New Roman" w:hAnsi="Times New Roman"/>
              </w:rPr>
            </w:pPr>
            <w:bookmarkStart w:colFirst="0" w:colLast="0" w:name="_heading=h.bx3cw3zfulxa" w:id="0"/>
            <w:bookmarkEnd w:id="0"/>
            <w:r w:rsidDel="00000000" w:rsidR="00000000" w:rsidRPr="00000000">
              <w:rPr>
                <w:rFonts w:ascii="Times New Roman" w:cs="Times New Roman" w:eastAsia="Times New Roman" w:hAnsi="Times New Roman"/>
                <w:rtl w:val="0"/>
              </w:rPr>
              <w:t xml:space="preserve">Критерії оцінювання кандидата / учасника (виконавця /надавача послуг)</w:t>
            </w:r>
          </w:p>
        </w:tc>
      </w:tr>
      <w:tr>
        <w:trPr>
          <w:cantSplit w:val="0"/>
          <w:trHeight w:val="669" w:hRule="atLeast"/>
          <w:tblHeader w:val="0"/>
        </w:trPr>
        <w:tc>
          <w:tcPr>
            <w:tcBorders>
              <w:top w:color="000000" w:space="0" w:sz="0" w:val="nil"/>
              <w:left w:color="000000" w:space="0" w:sz="5" w:val="single"/>
              <w:bottom w:color="000000" w:space="0" w:sz="5" w:val="single"/>
              <w:right w:color="000000" w:space="0" w:sz="5" w:val="single"/>
            </w:tcBorders>
            <w:shd w:fill="dbe5f1" w:val="clear"/>
            <w:tcMar>
              <w:top w:w="0.0" w:type="dxa"/>
              <w:left w:w="40.0" w:type="dxa"/>
              <w:bottom w:w="0.0" w:type="dxa"/>
              <w:right w:w="40.0" w:type="dxa"/>
            </w:tcMar>
          </w:tcPr>
          <w:p w:rsidR="00000000" w:rsidDel="00000000" w:rsidP="00000000" w:rsidRDefault="00000000" w:rsidRPr="00000000" w14:paraId="00000051">
            <w:pPr>
              <w:widowControl w:val="0"/>
              <w:spacing w:after="120" w:line="240" w:lineRule="auto"/>
              <w:ind w:left="-283.4645669291337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5" w:val="single"/>
            </w:tcBorders>
            <w:shd w:fill="dbe5f1" w:val="clear"/>
            <w:tcMar>
              <w:top w:w="0.0" w:type="dxa"/>
              <w:left w:w="40.0" w:type="dxa"/>
              <w:bottom w:w="0.0" w:type="dxa"/>
              <w:right w:w="40.0" w:type="dxa"/>
            </w:tcMar>
          </w:tcPr>
          <w:p w:rsidR="00000000" w:rsidDel="00000000" w:rsidP="00000000" w:rsidRDefault="00000000" w:rsidRPr="00000000" w14:paraId="00000052">
            <w:pPr>
              <w:widowControl w:val="0"/>
              <w:spacing w:after="120" w:line="240" w:lineRule="auto"/>
              <w:ind w:left="141.7322834645671" w:hanging="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Відповідність технічним вимогам</w:t>
            </w:r>
          </w:p>
        </w:tc>
        <w:tc>
          <w:tcPr>
            <w:tcBorders>
              <w:top w:color="000000" w:space="0" w:sz="0" w:val="nil"/>
              <w:left w:color="000000" w:space="0" w:sz="0" w:val="nil"/>
              <w:bottom w:color="000000" w:space="0" w:sz="5" w:val="single"/>
              <w:right w:color="000000" w:space="0" w:sz="5" w:val="single"/>
            </w:tcBorders>
            <w:shd w:fill="dbe5f1" w:val="clear"/>
            <w:tcMar>
              <w:top w:w="0.0" w:type="dxa"/>
              <w:left w:w="100.0" w:type="dxa"/>
              <w:bottom w:w="0.0" w:type="dxa"/>
              <w:right w:w="100.0" w:type="dxa"/>
            </w:tcMar>
          </w:tcPr>
          <w:p w:rsidR="00000000" w:rsidDel="00000000" w:rsidP="00000000" w:rsidRDefault="00000000" w:rsidRPr="00000000" w14:paraId="00000053">
            <w:pPr>
              <w:widowControl w:val="0"/>
              <w:spacing w:after="120" w:line="240" w:lineRule="auto"/>
              <w:ind w:left="141.7322834645671" w:firstLine="141.73228346456668"/>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МЕТОДОЛОГІЯ ОЦІНКИ</w:t>
            </w:r>
          </w:p>
        </w:tc>
        <w:tc>
          <w:tcPr>
            <w:tcBorders>
              <w:top w:color="000000" w:space="0" w:sz="0" w:val="nil"/>
              <w:left w:color="000000" w:space="0" w:sz="0" w:val="nil"/>
              <w:bottom w:color="000000" w:space="0" w:sz="5" w:val="single"/>
              <w:right w:color="000000" w:space="0" w:sz="5" w:val="single"/>
            </w:tcBorders>
            <w:shd w:fill="dbe5f1" w:val="clear"/>
            <w:tcMar>
              <w:top w:w="0.0" w:type="dxa"/>
              <w:left w:w="40.0" w:type="dxa"/>
              <w:bottom w:w="0.0" w:type="dxa"/>
              <w:right w:w="40.0" w:type="dxa"/>
            </w:tcMar>
          </w:tcPr>
          <w:p w:rsidR="00000000" w:rsidDel="00000000" w:rsidP="00000000" w:rsidRDefault="00000000" w:rsidRPr="00000000" w14:paraId="00000054">
            <w:pPr>
              <w:widowControl w:val="0"/>
              <w:spacing w:after="12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Максимальна кількість балів за вимогою</w:t>
            </w:r>
          </w:p>
        </w:tc>
      </w:tr>
      <w:tr>
        <w:trPr>
          <w:cantSplit w:val="0"/>
          <w:trHeight w:val="78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55">
            <w:pPr>
              <w:widowControl w:val="0"/>
              <w:spacing w:after="120" w:line="240" w:lineRule="auto"/>
              <w:ind w:left="-283.4645669291337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56">
            <w:pPr>
              <w:widowControl w:val="0"/>
              <w:spacing w:after="120" w:line="240" w:lineRule="auto"/>
              <w:ind w:left="141.7322834645671" w:hanging="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Деталізоване резюме виконавця, який надаватиме послуги</w:t>
            </w:r>
          </w:p>
          <w:p w:rsidR="00000000" w:rsidDel="00000000" w:rsidP="00000000" w:rsidRDefault="00000000" w:rsidRPr="00000000" w14:paraId="00000057">
            <w:pPr>
              <w:widowControl w:val="0"/>
              <w:spacing w:after="120" w:line="240" w:lineRule="auto"/>
              <w:ind w:left="141.7322834645671" w:hanging="0"/>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58">
            <w:pPr>
              <w:spacing w:after="240" w:before="240" w:line="240" w:lineRule="auto"/>
              <w:ind w:left="141.7322834645671" w:firstLine="141.73228346456668"/>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балів. Кандидатом надано вичерпну та структуровану інформацію щодо кваліфікації. Резюме містить детальний опис релевантного досвіду у сфері фандрейзингу, стратегічного планування та/або розвитку громад (щонайменше 5 років). Чітко зазначені ролі, функції, ключові досягнення, результати (у т.ч. кількісні показники), приклади реалізованих проєктів, розроблені методичні матеріали або інструменти. Відображено досвід проведення консультацій/тренінгів. Резюме актуалізоване та логічно структуроване.</w:t>
            </w:r>
          </w:p>
          <w:p w:rsidR="00000000" w:rsidDel="00000000" w:rsidP="00000000" w:rsidRDefault="00000000" w:rsidRPr="00000000" w14:paraId="00000059">
            <w:pPr>
              <w:spacing w:after="240" w:before="240" w:line="240" w:lineRule="auto"/>
              <w:ind w:left="141.7322834645671" w:firstLine="141.73228346456668"/>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балів. Кандидатом надано достатньо повну інформацію щодо кваліфікації та досвіду (щонайменше 5 років). Описано основні ролі, обов’язки та окремі досягнення. Є згадки про досвід роботи з громадами або фандрейзингом, але без глибокої деталізації результатів чи інструментів. Резюме актуалізоване.</w:t>
            </w:r>
          </w:p>
          <w:p w:rsidR="00000000" w:rsidDel="00000000" w:rsidP="00000000" w:rsidRDefault="00000000" w:rsidRPr="00000000" w14:paraId="0000005A">
            <w:pPr>
              <w:spacing w:after="240" w:before="240" w:line="240" w:lineRule="auto"/>
              <w:ind w:left="141.7322834645671" w:firstLine="141.73228346456668"/>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балів. Кандидатом надано узагальнену інформацію щодо кваліфікації. Описано досвід роботи (щонайменше 3–5 років), але без деталізації досягнень, результатів або конкретних кейсів. Відсутній або слабко представлений досвід саме у фандрейзингу/стратегічному супроводі. Резюме актуалізоване.</w:t>
            </w:r>
          </w:p>
          <w:p w:rsidR="00000000" w:rsidDel="00000000" w:rsidP="00000000" w:rsidRDefault="00000000" w:rsidRPr="00000000" w14:paraId="0000005B">
            <w:pPr>
              <w:spacing w:after="240" w:before="240" w:line="240" w:lineRule="auto"/>
              <w:ind w:left="141.7322834645671" w:firstLine="141.73228346456668"/>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балів. Кандидатом надано резюме з обмеженим описом досвіду (щонайменше 3 роки), який лише частково дотичний до теми (наприклад, загальна робота з громадами або проєктами без фокусу на фандрейзинг чи стратегії). Відсутня деталізація ролей, досягнень і результатів.</w:t>
            </w:r>
          </w:p>
          <w:p w:rsidR="00000000" w:rsidDel="00000000" w:rsidP="00000000" w:rsidRDefault="00000000" w:rsidRPr="00000000" w14:paraId="0000005C">
            <w:pPr>
              <w:spacing w:after="240" w:before="240" w:line="240" w:lineRule="auto"/>
              <w:ind w:left="141.7322834645671" w:firstLine="141.73228346456668"/>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балів. Резюме не надано або наданий досвід не є релевантним до теми фандрейзингу, стратегічного розвитку чи роботи з громадами.</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5D">
            <w:pPr>
              <w:widowControl w:val="0"/>
              <w:spacing w:after="120" w:line="240" w:lineRule="auto"/>
              <w:ind w:left="0" w:hanging="283.46456692913375"/>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r>
      <w:tr>
        <w:trPr>
          <w:cantSplit w:val="0"/>
          <w:trHeight w:val="634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5E">
            <w:pPr>
              <w:widowControl w:val="0"/>
              <w:spacing w:after="120" w:line="240" w:lineRule="auto"/>
              <w:ind w:left="-283.4645669291337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5F">
            <w:pPr>
              <w:spacing w:line="240" w:lineRule="auto"/>
              <w:ind w:left="141.7322834645671" w:hanging="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Подання зразка розробленої програми консультаційного супроводу з питань розроблення фандрейзингової стратегії</w:t>
            </w:r>
          </w:p>
          <w:p w:rsidR="00000000" w:rsidDel="00000000" w:rsidP="00000000" w:rsidRDefault="00000000" w:rsidRPr="00000000" w14:paraId="00000060">
            <w:pPr>
              <w:widowControl w:val="0"/>
              <w:spacing w:after="120" w:line="240" w:lineRule="auto"/>
              <w:ind w:left="141.7322834645671" w:hanging="0"/>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61">
            <w:pPr>
              <w:widowControl w:val="0"/>
              <w:spacing w:after="240" w:before="240" w:line="240" w:lineRule="auto"/>
              <w:ind w:left="141.7322834645671" w:firstLine="141.73228346456668"/>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балів: Кандидатом надано повноцінну, добре структуровану програму консультаційного супроводу, готову до практичного впровадження. Програма містить чітку мету, логічні етапи роботи (діагностика, розробка стратегії, впровадження/супровід), опис основних інструментів і методик, формати роботи (офлайн/онлайн) та орієнтовний таймлайн. Враховано практичну реалізацію в громаді.</w:t>
            </w:r>
          </w:p>
          <w:p w:rsidR="00000000" w:rsidDel="00000000" w:rsidP="00000000" w:rsidRDefault="00000000" w:rsidRPr="00000000" w14:paraId="00000062">
            <w:pPr>
              <w:widowControl w:val="0"/>
              <w:spacing w:after="240" w:before="240" w:line="240" w:lineRule="auto"/>
              <w:ind w:left="141.7322834645671" w:firstLine="141.73228346456668"/>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балів: Кандидатом надано структуровану програму консультаційного супроводу з визначеною метою, основними етапами, описом консультацій та базовими інструментами. Присутні формати роботи та орієнтовний таймлайн, але окремі елементи описані недостатньо деталізовано.</w:t>
            </w:r>
          </w:p>
          <w:p w:rsidR="00000000" w:rsidDel="00000000" w:rsidP="00000000" w:rsidRDefault="00000000" w:rsidRPr="00000000" w14:paraId="00000063">
            <w:pPr>
              <w:widowControl w:val="0"/>
              <w:spacing w:after="240" w:before="240" w:line="240" w:lineRule="auto"/>
              <w:ind w:left="141.7322834645671" w:firstLine="141.73228346456668"/>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балів: Кандидатом надано загальну структуру програми з описом основних етапів і змісту консультацій. Інструменти та формати роботи подані частково, без достатньої деталізації. </w:t>
            </w:r>
          </w:p>
          <w:p w:rsidR="00000000" w:rsidDel="00000000" w:rsidP="00000000" w:rsidRDefault="00000000" w:rsidRPr="00000000" w14:paraId="00000064">
            <w:pPr>
              <w:widowControl w:val="0"/>
              <w:spacing w:after="240" w:before="240" w:line="240" w:lineRule="auto"/>
              <w:ind w:left="141.7322834645671" w:firstLine="141.73228346456668"/>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балів: Надані матеріали є дотичними до теми, але не формують цілісної програми. Відсутня чітка структура, етапи та логіка консультаційного супроводу.</w:t>
            </w:r>
          </w:p>
          <w:p w:rsidR="00000000" w:rsidDel="00000000" w:rsidP="00000000" w:rsidRDefault="00000000" w:rsidRPr="00000000" w14:paraId="00000065">
            <w:pPr>
              <w:widowControl w:val="0"/>
              <w:spacing w:after="240" w:before="240" w:line="240" w:lineRule="auto"/>
              <w:ind w:left="141.7322834645671" w:firstLine="141.73228346456668"/>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балів: Жодних релевантних матеріалів не подано або вони не стосуються консультаційного супроводу з розробки фандрейзингової стратегії.</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66">
            <w:pPr>
              <w:widowControl w:val="0"/>
              <w:spacing w:after="120" w:line="240" w:lineRule="auto"/>
              <w:ind w:left="0" w:hanging="283.46456692913375"/>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r>
      <w:tr>
        <w:trPr>
          <w:cantSplit w:val="0"/>
          <w:trHeight w:val="30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67">
            <w:pPr>
              <w:widowControl w:val="0"/>
              <w:spacing w:after="120" w:line="240" w:lineRule="auto"/>
              <w:ind w:left="-283.4645669291337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68">
            <w:pPr>
              <w:widowControl w:val="0"/>
              <w:spacing w:after="120" w:line="240" w:lineRule="auto"/>
              <w:ind w:left="141.7322834645671" w:hanging="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Досвід співпраці виконавця (надавача послуг) з органами місцевого самоврядування та громадами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69">
            <w:pPr>
              <w:spacing w:after="120" w:line="240" w:lineRule="auto"/>
              <w:ind w:left="141.7322834645671" w:firstLine="141.73228346456668"/>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балів: Кандидат надіслав документи, які підтверджують досвід співпраці з органами місцевого самоврядування та громадами понад 3 роки (договори, фото, інформація на бланку організації, рекомендаційні листи, тощо) з результатами в рамках соціальних ініціатив.</w:t>
            </w:r>
          </w:p>
          <w:p w:rsidR="00000000" w:rsidDel="00000000" w:rsidP="00000000" w:rsidRDefault="00000000" w:rsidRPr="00000000" w14:paraId="0000006A">
            <w:pPr>
              <w:spacing w:after="120" w:line="240" w:lineRule="auto"/>
              <w:ind w:left="141.7322834645671" w:firstLine="141.73228346456668"/>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балів: Кандидат надіслав документи, які частково підтверджують досвід співпраці з органами місцевого самоврядування та громадами понад 3 років (наприклад, є листи або фотографії, але відсутні офіційні договори чи рекомендаційні листи).</w:t>
            </w:r>
          </w:p>
          <w:p w:rsidR="00000000" w:rsidDel="00000000" w:rsidP="00000000" w:rsidRDefault="00000000" w:rsidRPr="00000000" w14:paraId="0000006B">
            <w:pPr>
              <w:spacing w:after="120" w:line="240" w:lineRule="auto"/>
              <w:ind w:left="141.7322834645671" w:firstLine="141.73228346456668"/>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балів: Кандидат зазначив про наявність досвіду співпраці з органами місцевого самоврядування та громадами, але не надано жодних підтверджуючих документів.</w:t>
            </w:r>
          </w:p>
          <w:p w:rsidR="00000000" w:rsidDel="00000000" w:rsidP="00000000" w:rsidRDefault="00000000" w:rsidRPr="00000000" w14:paraId="0000006C">
            <w:pPr>
              <w:spacing w:after="120" w:line="240" w:lineRule="auto"/>
              <w:ind w:left="141.7322834645671" w:firstLine="141.73228346456668"/>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балів: Кандидат не має досвіду співпраці з органами місцевого самоврядування та громадами.</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6D">
            <w:pPr>
              <w:widowControl w:val="0"/>
              <w:spacing w:after="120" w:line="240" w:lineRule="auto"/>
              <w:ind w:left="0" w:hanging="283.46456692913375"/>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rHeight w:val="30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6E">
            <w:pPr>
              <w:widowControl w:val="0"/>
              <w:spacing w:after="120" w:line="240" w:lineRule="auto"/>
              <w:ind w:left="-283.4645669291337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ffffff" w:val="clear"/>
            <w:tcMar>
              <w:top w:w="0.0" w:type="dxa"/>
              <w:left w:w="40.0" w:type="dxa"/>
              <w:bottom w:w="0.0" w:type="dxa"/>
              <w:right w:w="40.0" w:type="dxa"/>
            </w:tcMar>
            <w:vAlign w:val="center"/>
          </w:tcPr>
          <w:p w:rsidR="00000000" w:rsidDel="00000000" w:rsidP="00000000" w:rsidRDefault="00000000" w:rsidRPr="00000000" w14:paraId="0000006F">
            <w:pPr>
              <w:widowControl w:val="0"/>
              <w:spacing w:after="80" w:line="259" w:lineRule="auto"/>
              <w:ind w:left="141.7322834645671" w:hanging="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Співбесіда</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70">
            <w:pPr>
              <w:widowControl w:val="0"/>
              <w:spacing w:after="240" w:before="240" w:line="240" w:lineRule="auto"/>
              <w:ind w:left="141.7322834645671" w:firstLine="141.73228346456668"/>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балів: Кандидат вчасно долучився, демонструє повне розуміння теми, чітко відповідає на всі запитання, повністю поділяє цінності Фонду.</w:t>
            </w:r>
          </w:p>
          <w:p w:rsidR="00000000" w:rsidDel="00000000" w:rsidP="00000000" w:rsidRDefault="00000000" w:rsidRPr="00000000" w14:paraId="00000071">
            <w:pPr>
              <w:widowControl w:val="0"/>
              <w:spacing w:after="240" w:before="240" w:line="240" w:lineRule="auto"/>
              <w:ind w:left="141.7322834645671" w:firstLine="141.73228346456668"/>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балів: Кандидат долучився до зустрічі, добре орієнтується у предметі, частково демонструє компетенції, відповіді переважно конкретні; поділяє цінності Фонду.</w:t>
            </w:r>
          </w:p>
          <w:p w:rsidR="00000000" w:rsidDel="00000000" w:rsidP="00000000" w:rsidRDefault="00000000" w:rsidRPr="00000000" w14:paraId="00000072">
            <w:pPr>
              <w:widowControl w:val="0"/>
              <w:spacing w:after="240" w:before="240" w:line="240" w:lineRule="auto"/>
              <w:ind w:left="141.7322834645671" w:firstLine="141.73228346456668"/>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балів: Кандидат поверхнево орієнтується у темі, відповіді узагальнені; частково поділяє цінності Фонду.</w:t>
            </w:r>
          </w:p>
          <w:p w:rsidR="00000000" w:rsidDel="00000000" w:rsidP="00000000" w:rsidRDefault="00000000" w:rsidRPr="00000000" w14:paraId="00000073">
            <w:pPr>
              <w:widowControl w:val="0"/>
              <w:spacing w:after="240" w:before="240" w:line="240" w:lineRule="auto"/>
              <w:ind w:left="141.7322834645671" w:firstLine="141.73228346456668"/>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балів: Кандидат обмежено орієнтується у предметі, відповіді неповні або логічно непослідовні; частково розуміє цінності Фонду.</w:t>
            </w:r>
          </w:p>
          <w:p w:rsidR="00000000" w:rsidDel="00000000" w:rsidP="00000000" w:rsidRDefault="00000000" w:rsidRPr="00000000" w14:paraId="00000074">
            <w:pPr>
              <w:widowControl w:val="0"/>
              <w:spacing w:after="240" w:before="240" w:line="240" w:lineRule="auto"/>
              <w:ind w:left="141.7322834645671" w:firstLine="141.73228346456668"/>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балів: Кандидат не долучився, не володіє інформацією про предмет тендеру, не демонструє розуміння цінностей Фонду.</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75">
            <w:pPr>
              <w:widowControl w:val="0"/>
              <w:spacing w:after="120" w:line="240" w:lineRule="auto"/>
              <w:ind w:left="0" w:hanging="283.46456692913375"/>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r>
    </w:tbl>
    <w:p w:rsidR="00000000" w:rsidDel="00000000" w:rsidP="00000000" w:rsidRDefault="00000000" w:rsidRPr="00000000" w14:paraId="00000076">
      <w:pPr>
        <w:spacing w:after="0" w:lineRule="auto"/>
        <w:ind w:left="-283.4645669291337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spacing w:after="120" w:lineRule="auto"/>
        <w:ind w:left="-283.46456692913375" w:firstLine="0"/>
        <w:jc w:val="center"/>
        <w:rPr>
          <w:rFonts w:ascii="Times New Roman" w:cs="Times New Roman" w:eastAsia="Times New Roman" w:hAnsi="Times New Roman"/>
          <w:b w:val="1"/>
          <w:bCs w:val="1"/>
          <w:highlight w:val="yellow"/>
        </w:rPr>
      </w:pPr>
      <w:r w:rsidDel="00000000" w:rsidR="00000000" w:rsidRPr="00000000">
        <w:rPr>
          <w:rFonts w:ascii="Times New Roman" w:cs="Times New Roman" w:eastAsia="Times New Roman" w:hAnsi="Times New Roman"/>
          <w:highlight w:val="yellow"/>
          <w:rtl w:val="0"/>
        </w:rPr>
        <w:t xml:space="preserve">  </w:t>
      </w:r>
      <w:r w:rsidDel="00000000" w:rsidR="00000000" w:rsidRPr="00000000">
        <w:rPr>
          <w:rtl w:val="0"/>
        </w:rPr>
      </w:r>
    </w:p>
    <w:sectPr>
      <w:pgSz w:h="16834" w:w="11909" w:orient="portrait"/>
      <w:pgMar w:bottom="973.1102362204729" w:top="708.6614173228347" w:left="1440" w:right="832.204724409448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2"/>
      <w:numFmt w:val="bullet"/>
      <w:lvlText w:val="-"/>
      <w:lvlJc w:val="left"/>
      <w:pPr>
        <w:ind w:left="720" w:hanging="360"/>
      </w:pPr>
      <w:rPr>
        <w:rFonts w:ascii="Arial" w:cs="Arial" w:eastAsia="Arial" w:hAnsi="Arial"/>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2"/>
      <w:numFmt w:val="bullet"/>
      <w:lvlText w:val="-"/>
      <w:lvlJc w:val="left"/>
      <w:pPr>
        <w:ind w:left="720" w:hanging="360"/>
      </w:pPr>
      <w:rPr>
        <w:rFonts w:ascii="Arial" w:cs="Arial" w:eastAsia="Arial" w:hAnsi="Arial"/>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bCs w:val="0"/>
      <w:i w:val="0"/>
      <w:iCs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ebHFY+7DduPqqutBsMp6Z2Smyg==">CgMxLjAyDmguYngzY3czemZ1bHhhOAByITE4YVNyYTJodXdPeXB0SERSQ2xiZjR2VnJUVnctLTRPbQ==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