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rtl w:val="0"/>
        </w:rPr>
        <w:t xml:space="preserve">12</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rtl w:val="0"/>
        </w:rPr>
        <w:t xml:space="preserve">10</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.2026</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ЗАПРОШЕННЯ ДО УЧАСТІ В ТЕНДЕРІ № Q4-T67-LVP на закупівлю послуг</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 зі створення статті або серії статей на суспільно важливу тематику, їх розміщення в національних інтернет-медіа та поширення в соціальних мережах медіаресурсів</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sz w:val="20"/>
          <w:szCs w:val="20"/>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Дата і час закінчення прийняття пропозицій:</w:t>
      </w: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br w:type="textWrapping"/>
      </w:r>
      <w:r w:rsidDel="00000000" w:rsidR="00000000" w:rsidRPr="00000000">
        <w:rPr>
          <w:rFonts w:ascii="Arial" w:cs="Arial" w:eastAsia="Arial" w:hAnsi="Arial"/>
          <w:b w:val="1"/>
          <w:bCs w:val="1"/>
          <w:sz w:val="20"/>
          <w:szCs w:val="20"/>
          <w:rtl w:val="0"/>
        </w:rPr>
        <w:t xml:space="preserve">1</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6 жовтня 2026 року до 1</w:t>
      </w:r>
      <w:r w:rsidDel="00000000" w:rsidR="00000000" w:rsidRPr="00000000">
        <w:rPr>
          <w:rFonts w:ascii="Arial" w:cs="Arial" w:eastAsia="Arial" w:hAnsi="Arial"/>
          <w:b w:val="1"/>
          <w:bCs w:val="1"/>
          <w:sz w:val="20"/>
          <w:szCs w:val="20"/>
          <w:rtl w:val="0"/>
        </w:rPr>
        <w:t xml:space="preserve">1</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:00 за київським часом</w:t>
      </w:r>
      <w:r w:rsidDel="00000000" w:rsidR="00000000" w:rsidRPr="00000000">
        <w:rPr>
          <w:rtl w:val="0"/>
        </w:rPr>
      </w:r>
    </w:p>
    <w:p w:rsidR="00000000" w:rsidDel="00000000" w:rsidP="00000000" w:rsidRDefault="00000000" w:rsidRPr="00000000" w14:paraId="00000005">
      <w:pPr>
        <w:widowControl w:val="0"/>
        <w:spacing w:after="0" w:lineRule="auto"/>
        <w:ind w:right="-289" w:hanging="1"/>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Коротко про «Право на захист»: </w:t>
      </w:r>
      <w:r w:rsidDel="00000000" w:rsidR="00000000" w:rsidRPr="00000000">
        <w:rPr>
          <w:rFonts w:ascii="Arial" w:cs="Arial" w:eastAsia="Arial" w:hAnsi="Arial"/>
          <w:sz w:val="20"/>
          <w:szCs w:val="20"/>
          <w:rtl w:val="0"/>
        </w:rPr>
        <w:t xml:space="preserve">Благодійна організація «Благодійний фонд «Право на захист» – українська благодійна організація, діяльність якої спрямована на захист і дотримання прав людини вразливих груп населення: біженців, вимушених переселенців, осіб без громадянства та осіб під ризиком без громадянства і без документів. Докладна інформація про діяльність БФ «Право на захист» надана на веб-сайті http://r2p.org.ua.</w:t>
      </w:r>
    </w:p>
    <w:p w:rsidR="00000000" w:rsidDel="00000000" w:rsidP="00000000" w:rsidRDefault="00000000" w:rsidRPr="00000000" w14:paraId="00000006">
      <w:pPr>
        <w:widowControl w:val="0"/>
        <w:spacing w:after="0" w:lineRule="auto"/>
        <w:ind w:right="-431"/>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7">
      <w:pPr>
        <w:widowControl w:val="0"/>
        <w:spacing w:after="0" w:lineRule="auto"/>
        <w:ind w:right="-289" w:hanging="1"/>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Потреби: Благодійна Організація «Благодійний фонд «Право на захист»  запрошує Вас до участі у тендері  </w:t>
      </w:r>
      <w:r w:rsidDel="00000000" w:rsidR="00000000" w:rsidRPr="00000000">
        <w:rPr>
          <w:rFonts w:ascii="Arial" w:cs="Arial" w:eastAsia="Arial" w:hAnsi="Arial"/>
          <w:b w:val="1"/>
          <w:bCs w:val="1"/>
          <w:sz w:val="20"/>
          <w:szCs w:val="20"/>
          <w:rtl w:val="0"/>
        </w:rPr>
        <w:t xml:space="preserve">для закупівлі  послуг зі створення статті або серії статей на суспільно важливу тематику, їх розміщення в національних інтернет-медіа та поширення в соціальних мережах медіаресурсів</w:t>
      </w:r>
    </w:p>
    <w:p w:rsidR="00000000" w:rsidDel="00000000" w:rsidP="00000000" w:rsidRDefault="00000000" w:rsidRPr="00000000" w14:paraId="00000008">
      <w:pPr>
        <w:widowControl w:val="0"/>
        <w:spacing w:after="0" w:line="240" w:lineRule="auto"/>
        <w:ind w:hanging="2"/>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9">
      <w:pPr>
        <w:widowControl w:val="0"/>
        <w:spacing w:after="0" w:line="240" w:lineRule="auto"/>
        <w:ind w:hanging="2"/>
        <w:jc w:val="both"/>
        <w:rPr>
          <w:rFonts w:ascii="Arial" w:cs="Arial" w:eastAsia="Arial" w:hAnsi="Arial"/>
          <w:color w:val="000099"/>
          <w:sz w:val="20"/>
          <w:szCs w:val="20"/>
        </w:rPr>
      </w:pPr>
      <w:r w:rsidDel="00000000" w:rsidR="00000000" w:rsidRPr="00000000">
        <w:rPr>
          <w:rFonts w:ascii="Arial" w:cs="Arial" w:eastAsia="Arial" w:hAnsi="Arial"/>
          <w:b w:val="1"/>
          <w:bCs w:val="1"/>
          <w:color w:val="000099"/>
          <w:sz w:val="20"/>
          <w:szCs w:val="20"/>
          <w:u w:val="single"/>
          <w:rtl w:val="0"/>
        </w:rPr>
        <w:t xml:space="preserve">Детальний Бриф надається окреми файлом до цього листа і є його невід’ємною частиною</w:t>
      </w:r>
      <w:r w:rsidDel="00000000" w:rsidR="00000000" w:rsidRPr="00000000">
        <w:rPr>
          <w:rFonts w:ascii="Arial" w:cs="Arial" w:eastAsia="Arial" w:hAnsi="Arial"/>
          <w:b w:val="1"/>
          <w:bCs w:val="1"/>
          <w:color w:val="000099"/>
          <w:sz w:val="20"/>
          <w:szCs w:val="20"/>
          <w:rtl w:val="0"/>
        </w:rPr>
        <w:t xml:space="preserve">. </w:t>
      </w:r>
      <w:r w:rsidDel="00000000" w:rsidR="00000000" w:rsidRPr="00000000">
        <w:rPr>
          <w:rtl w:val="0"/>
        </w:rPr>
      </w:r>
    </w:p>
    <w:p w:rsidR="00000000" w:rsidDel="00000000" w:rsidP="00000000" w:rsidRDefault="00000000" w:rsidRPr="00000000" w14:paraId="0000000A">
      <w:pPr>
        <w:widowControl w:val="0"/>
        <w:spacing w:after="0" w:line="240" w:lineRule="auto"/>
        <w:ind w:hanging="2"/>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B">
      <w:pPr>
        <w:widowControl w:val="0"/>
        <w:spacing w:after="0" w:line="240" w:lineRule="auto"/>
        <w:ind w:hanging="2"/>
        <w:rPr>
          <w:rFonts w:ascii="Arial" w:cs="Arial" w:eastAsia="Arial" w:hAnsi="Arial"/>
          <w:b w:val="1"/>
          <w:bCs w:val="1"/>
          <w:sz w:val="20"/>
          <w:szCs w:val="20"/>
        </w:rPr>
      </w:pPr>
      <w:r w:rsidDel="00000000" w:rsidR="00000000" w:rsidRPr="00000000">
        <w:rPr>
          <w:rFonts w:ascii="Arial" w:cs="Arial" w:eastAsia="Arial" w:hAnsi="Arial"/>
          <w:b w:val="1"/>
          <w:bCs w:val="1"/>
          <w:sz w:val="20"/>
          <w:szCs w:val="20"/>
          <w:u w:val="single"/>
          <w:rtl w:val="0"/>
        </w:rPr>
        <w:t xml:space="preserve">Зміст пропозиції:</w:t>
      </w: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00C">
      <w:pPr>
        <w:widowControl w:val="0"/>
        <w:spacing w:after="0" w:line="240" w:lineRule="auto"/>
        <w:ind w:hanging="2"/>
        <w:rPr>
          <w:rFonts w:ascii="Arial" w:cs="Arial" w:eastAsia="Arial" w:hAnsi="Arial"/>
          <w:sz w:val="20"/>
          <w:szCs w:val="20"/>
        </w:rPr>
      </w:pPr>
      <w:r w:rsidDel="00000000" w:rsidR="00000000" w:rsidRPr="00000000">
        <w:rPr>
          <w:rFonts w:ascii="Arial" w:cs="Arial" w:eastAsia="Arial" w:hAnsi="Arial"/>
          <w:sz w:val="20"/>
          <w:szCs w:val="20"/>
          <w:rtl w:val="0"/>
        </w:rPr>
        <w:t xml:space="preserve">Просимо направити пропозицію, яка включає:</w:t>
      </w:r>
    </w:p>
    <w:p w:rsidR="00000000" w:rsidDel="00000000" w:rsidP="00000000" w:rsidRDefault="00000000" w:rsidRPr="00000000" w14:paraId="0000000D">
      <w:pPr>
        <w:widowControl w:val="0"/>
        <w:spacing w:after="0" w:line="240" w:lineRule="auto"/>
        <w:ind w:hanging="2"/>
        <w:rPr>
          <w:rFonts w:ascii="Arial" w:cs="Arial" w:eastAsia="Arial" w:hAnsi="Arial"/>
          <w:b w:val="1"/>
          <w:bCs w:val="1"/>
          <w:i w:val="1"/>
          <w:iCs w:val="1"/>
          <w:sz w:val="20"/>
          <w:szCs w:val="20"/>
        </w:rPr>
      </w:pPr>
      <w:r w:rsidDel="00000000" w:rsidR="00000000" w:rsidRPr="00000000">
        <w:rPr>
          <w:rFonts w:ascii="Arial" w:cs="Arial" w:eastAsia="Arial" w:hAnsi="Arial"/>
          <w:b w:val="1"/>
          <w:bCs w:val="1"/>
          <w:sz w:val="20"/>
          <w:szCs w:val="20"/>
          <w:rtl w:val="0"/>
        </w:rPr>
        <w:br w:type="textWrapping"/>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sz w:val="20"/>
          <w:szCs w:val="20"/>
          <w:u w:val="single"/>
          <w:rtl w:val="0"/>
        </w:rPr>
        <w:t xml:space="preserve">технічну складову</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i w:val="1"/>
          <w:iCs w:val="1"/>
          <w:sz w:val="20"/>
          <w:szCs w:val="20"/>
          <w:rtl w:val="0"/>
        </w:rPr>
        <w:t xml:space="preserve">перелік документів і інформації, які необхідно надати, ви можете знайти в файлі «Бриф», розділ Пакет документів.</w:t>
      </w:r>
    </w:p>
    <w:p w:rsidR="00000000" w:rsidDel="00000000" w:rsidP="00000000" w:rsidRDefault="00000000" w:rsidRPr="00000000" w14:paraId="0000000E">
      <w:pPr>
        <w:widowControl w:val="0"/>
        <w:spacing w:after="0" w:line="240" w:lineRule="auto"/>
        <w:ind w:hanging="2"/>
        <w:rPr>
          <w:rFonts w:ascii="Arial" w:cs="Arial" w:eastAsia="Arial" w:hAnsi="Arial"/>
          <w:b w:val="1"/>
          <w:bCs w:val="1"/>
          <w:i w:val="1"/>
          <w:iCs w:val="1"/>
          <w:sz w:val="20"/>
          <w:szCs w:val="20"/>
        </w:rPr>
      </w:pPr>
      <w:r w:rsidDel="00000000" w:rsidR="00000000" w:rsidRPr="00000000">
        <w:rPr>
          <w:rtl w:val="0"/>
        </w:rPr>
      </w:r>
    </w:p>
    <w:p w:rsidR="00000000" w:rsidDel="00000000" w:rsidP="00000000" w:rsidRDefault="00000000" w:rsidRPr="00000000" w14:paraId="0000000F">
      <w:pPr>
        <w:widowControl w:val="0"/>
        <w:spacing w:after="0" w:line="240" w:lineRule="auto"/>
        <w:ind w:hanging="2"/>
        <w:rPr>
          <w:rFonts w:ascii="Arial" w:cs="Arial" w:eastAsia="Arial" w:hAnsi="Arial"/>
          <w:color w:val="1155cc"/>
          <w:sz w:val="20"/>
          <w:szCs w:val="20"/>
          <w:u w:val="single"/>
        </w:rPr>
      </w:pP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sz w:val="20"/>
          <w:szCs w:val="20"/>
          <w:u w:val="single"/>
          <w:rtl w:val="0"/>
        </w:rPr>
        <w:t xml:space="preserve">фінансову складову</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i w:val="1"/>
          <w:iCs w:val="1"/>
          <w:sz w:val="20"/>
          <w:szCs w:val="20"/>
          <w:rtl w:val="0"/>
        </w:rPr>
        <w:t xml:space="preserve">у вигляді </w:t>
      </w:r>
      <w:r w:rsidDel="00000000" w:rsidR="00000000" w:rsidRPr="00000000">
        <w:rPr>
          <w:rFonts w:ascii="Arial" w:cs="Arial" w:eastAsia="Arial" w:hAnsi="Arial"/>
          <w:b w:val="1"/>
          <w:bCs w:val="1"/>
          <w:i w:val="1"/>
          <w:iCs w:val="1"/>
          <w:sz w:val="20"/>
          <w:szCs w:val="20"/>
          <w:u w:val="single"/>
          <w:rtl w:val="0"/>
        </w:rPr>
        <w:t xml:space="preserve">заповненого Додатку В</w:t>
      </w:r>
      <w:r w:rsidDel="00000000" w:rsidR="00000000" w:rsidRPr="00000000">
        <w:rPr>
          <w:rFonts w:ascii="Arial" w:cs="Arial" w:eastAsia="Arial" w:hAnsi="Arial"/>
          <w:b w:val="1"/>
          <w:bCs w:val="1"/>
          <w:i w:val="1"/>
          <w:iCs w:val="1"/>
          <w:sz w:val="20"/>
          <w:szCs w:val="20"/>
          <w:rtl w:val="0"/>
        </w:rPr>
        <w:t xml:space="preserve">, який є невід’ємною частиною даного запиту.</w:t>
      </w:r>
      <w:r w:rsidDel="00000000" w:rsidR="00000000" w:rsidRPr="00000000">
        <w:rPr>
          <w:rFonts w:ascii="Arial" w:cs="Arial" w:eastAsia="Arial" w:hAnsi="Arial"/>
          <w:sz w:val="20"/>
          <w:szCs w:val="20"/>
          <w:rtl w:val="0"/>
        </w:rPr>
        <w:t xml:space="preserve"> Подається у гривнях з урахуванням всіх додаткових витрат і податків.</w:t>
      </w:r>
      <w:r w:rsidDel="00000000" w:rsidR="00000000" w:rsidRPr="00000000">
        <w:rPr>
          <w:rtl w:val="0"/>
        </w:rPr>
      </w:r>
    </w:p>
    <w:p w:rsidR="00000000" w:rsidDel="00000000" w:rsidP="00000000" w:rsidRDefault="00000000" w:rsidRPr="00000000" w14:paraId="00000010">
      <w:pPr>
        <w:widowControl w:val="0"/>
        <w:spacing w:after="0" w:line="240" w:lineRule="auto"/>
        <w:ind w:hanging="2"/>
        <w:rPr>
          <w:rFonts w:ascii="Arial" w:cs="Arial" w:eastAsia="Arial" w:hAnsi="Arial"/>
          <w:color w:val="0000ff"/>
          <w:sz w:val="20"/>
          <w:szCs w:val="20"/>
        </w:rPr>
      </w:pPr>
      <w:r w:rsidDel="00000000" w:rsidR="00000000" w:rsidRPr="00000000">
        <w:rPr>
          <w:rFonts w:ascii="Arial" w:cs="Arial" w:eastAsia="Arial" w:hAnsi="Arial"/>
          <w:sz w:val="20"/>
          <w:szCs w:val="20"/>
          <w:rtl w:val="0"/>
        </w:rPr>
        <w:br w:type="textWrapping"/>
        <w:t xml:space="preserve">З питань </w:t>
      </w:r>
      <w:r w:rsidDel="00000000" w:rsidR="00000000" w:rsidRPr="00000000">
        <w:rPr>
          <w:rFonts w:ascii="Arial" w:cs="Arial" w:eastAsia="Arial" w:hAnsi="Arial"/>
          <w:b w:val="1"/>
          <w:bCs w:val="1"/>
          <w:sz w:val="20"/>
          <w:szCs w:val="20"/>
          <w:u w:val="single"/>
          <w:rtl w:val="0"/>
        </w:rPr>
        <w:t xml:space="preserve">подання пропозицій</w:t>
      </w:r>
      <w:r w:rsidDel="00000000" w:rsidR="00000000" w:rsidRPr="00000000">
        <w:rPr>
          <w:rFonts w:ascii="Arial" w:cs="Arial" w:eastAsia="Arial" w:hAnsi="Arial"/>
          <w:sz w:val="20"/>
          <w:szCs w:val="20"/>
          <w:rtl w:val="0"/>
        </w:rPr>
        <w:t xml:space="preserve"> звертайтеся, будь ласка, до Марії Терлецької: </w:t>
      </w:r>
      <w:hyperlink r:id="rId7">
        <w:r w:rsidDel="00000000" w:rsidR="00000000" w:rsidRPr="00000000">
          <w:rPr>
            <w:rFonts w:ascii="Arial" w:cs="Arial" w:eastAsia="Arial" w:hAnsi="Arial"/>
            <w:color w:val="0000ff"/>
            <w:sz w:val="20"/>
            <w:szCs w:val="20"/>
            <w:u w:val="single"/>
            <w:rtl w:val="0"/>
          </w:rPr>
          <w:t xml:space="preserve">m.terletska@r2p.org.ua</w:t>
        </w:r>
      </w:hyperlink>
      <w:r w:rsidDel="00000000" w:rsidR="00000000" w:rsidRPr="00000000">
        <w:rPr>
          <w:rtl w:val="0"/>
        </w:rPr>
      </w:r>
    </w:p>
    <w:p w:rsidR="00000000" w:rsidDel="00000000" w:rsidP="00000000" w:rsidRDefault="00000000" w:rsidRPr="00000000" w14:paraId="00000011">
      <w:pPr>
        <w:widowControl w:val="0"/>
        <w:spacing w:after="0" w:line="240" w:lineRule="auto"/>
        <w:ind w:hanging="2"/>
        <w:rPr>
          <w:rFonts w:ascii="Arial" w:cs="Arial" w:eastAsia="Arial" w:hAnsi="Arial"/>
          <w:color w:val="0000ff"/>
          <w:sz w:val="20"/>
          <w:szCs w:val="20"/>
          <w:u w:val="single"/>
        </w:rPr>
      </w:pPr>
      <w:r w:rsidDel="00000000" w:rsidR="00000000" w:rsidRPr="00000000">
        <w:rPr>
          <w:rFonts w:ascii="Arial" w:cs="Arial" w:eastAsia="Arial" w:hAnsi="Arial"/>
          <w:sz w:val="20"/>
          <w:szCs w:val="20"/>
          <w:rtl w:val="0"/>
        </w:rPr>
        <w:br w:type="textWrapping"/>
        <w:t xml:space="preserve">Для уточнень </w:t>
      </w:r>
      <w:r w:rsidDel="00000000" w:rsidR="00000000" w:rsidRPr="00000000">
        <w:rPr>
          <w:rFonts w:ascii="Arial" w:cs="Arial" w:eastAsia="Arial" w:hAnsi="Arial"/>
          <w:b w:val="1"/>
          <w:bCs w:val="1"/>
          <w:sz w:val="20"/>
          <w:szCs w:val="20"/>
          <w:u w:val="single"/>
          <w:rtl w:val="0"/>
        </w:rPr>
        <w:t xml:space="preserve">щодо Брифу</w:t>
      </w:r>
      <w:r w:rsidDel="00000000" w:rsidR="00000000" w:rsidRPr="00000000">
        <w:rPr>
          <w:rFonts w:ascii="Arial" w:cs="Arial" w:eastAsia="Arial" w:hAnsi="Arial"/>
          <w:sz w:val="20"/>
          <w:szCs w:val="20"/>
          <w:rtl w:val="0"/>
        </w:rPr>
        <w:t xml:space="preserve"> ви можете звертатись до </w:t>
      </w:r>
      <w:r w:rsidDel="00000000" w:rsidR="00000000" w:rsidRPr="00000000">
        <w:rPr>
          <w:rFonts w:ascii="Arial" w:cs="Arial" w:eastAsia="Arial" w:hAnsi="Arial"/>
          <w:sz w:val="20"/>
          <w:szCs w:val="20"/>
          <w:rtl w:val="0"/>
        </w:rPr>
        <w:t xml:space="preserve">Дениса Мініна</w:t>
      </w:r>
      <w:r w:rsidDel="00000000" w:rsidR="00000000" w:rsidRPr="00000000">
        <w:rPr>
          <w:rFonts w:ascii="Century Gothic" w:cs="Century Gothic" w:eastAsia="Century Gothic" w:hAnsi="Century Gothic"/>
          <w:color w:val="2b333d"/>
          <w:sz w:val="20"/>
          <w:szCs w:val="20"/>
          <w:rtl w:val="0"/>
        </w:rPr>
        <w:t xml:space="preserve">, +380 95 555 82 24, </w:t>
      </w:r>
      <w:hyperlink r:id="rId8">
        <w:r w:rsidDel="00000000" w:rsidR="00000000" w:rsidRPr="00000000">
          <w:rPr>
            <w:rFonts w:ascii="Century Gothic" w:cs="Century Gothic" w:eastAsia="Century Gothic" w:hAnsi="Century Gothic"/>
            <w:color w:val="0000ff"/>
            <w:sz w:val="20"/>
            <w:szCs w:val="20"/>
            <w:u w:val="single"/>
            <w:rtl w:val="0"/>
          </w:rPr>
          <w:t xml:space="preserve">d.minin@r2p.org.ua</w:t>
        </w:r>
      </w:hyperlink>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Times New Roman" w:cs="Times New Roman" w:eastAsia="Times New Roman" w:hAnsi="Times New Roman"/>
          <w:b w:val="0"/>
          <w:bCs w:val="0"/>
          <w:i w:val="1"/>
          <w:iCs w:val="1"/>
          <w:smallCaps w:val="0"/>
          <w:strike w:val="0"/>
          <w:color w:val="7030a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Arial" w:cs="Arial" w:eastAsia="Arial" w:hAnsi="Arial"/>
          <w:sz w:val="20"/>
          <w:szCs w:val="20"/>
        </w:rPr>
      </w:pPr>
      <w:r w:rsidDel="00000000" w:rsidR="00000000" w:rsidRPr="00000000">
        <w:rPr>
          <w:rFonts w:ascii="Arial" w:cs="Arial" w:eastAsia="Arial" w:hAnsi="Arial"/>
          <w:b w:val="1"/>
          <w:bCs w:val="1"/>
          <w:sz w:val="20"/>
          <w:szCs w:val="20"/>
          <w:u w:val="single"/>
          <w:rtl w:val="0"/>
        </w:rPr>
        <w:t xml:space="preserve">Оцінка пропозицій:</w:t>
      </w:r>
      <w:r w:rsidDel="00000000" w:rsidR="00000000" w:rsidRPr="00000000">
        <w:rPr>
          <w:rFonts w:ascii="Arial" w:cs="Arial" w:eastAsia="Arial" w:hAnsi="Arial"/>
          <w:color w:val="0000ff"/>
          <w:sz w:val="20"/>
          <w:szCs w:val="20"/>
          <w:u w:val="single"/>
          <w:rtl w:val="0"/>
        </w:rPr>
        <w:br w:type="textWrapping"/>
      </w:r>
      <w:r w:rsidDel="00000000" w:rsidR="00000000" w:rsidRPr="00000000">
        <w:rPr>
          <w:rFonts w:ascii="Arial" w:cs="Arial" w:eastAsia="Arial" w:hAnsi="Arial"/>
          <w:sz w:val="20"/>
          <w:szCs w:val="20"/>
          <w:rtl w:val="0"/>
        </w:rPr>
        <w:t xml:space="preserve">1. Технічна оцінка за критеріями (детальний опис критеріїв та спосіб оцінки наведений наведені в файлі «Технічне завдання»). Для подальшої оцінки пройдуть лише пропозиції, які наберуть мінімальний прохідний бал за технічну пропозицію, що становить 40 балів.</w:t>
      </w:r>
    </w:p>
    <w:p w:rsidR="00000000" w:rsidDel="00000000" w:rsidP="00000000" w:rsidRDefault="00000000" w:rsidRPr="00000000" w14:paraId="00000014">
      <w:pPr>
        <w:widowControl w:val="0"/>
        <w:spacing w:after="0" w:line="240" w:lineRule="auto"/>
        <w:ind w:hanging="2"/>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2. Оцінка фінансових пропозицій: розраховується за принципом «чим менша ціна, тим вищий бал» за формулою: (найменша цінова пропозиція)/(оцінювана цінова пропозиція)*30</w:t>
      </w:r>
    </w:p>
    <w:p w:rsidR="00000000" w:rsidDel="00000000" w:rsidP="00000000" w:rsidRDefault="00000000" w:rsidRPr="00000000" w14:paraId="00000015">
      <w:pPr>
        <w:widowControl w:val="0"/>
        <w:spacing w:after="0" w:line="240" w:lineRule="auto"/>
        <w:ind w:hanging="2"/>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3. Порівняння загальної кількості набраних балів кожного учасника, вибір переможця за найвищою кількістю балів.</w:t>
      </w:r>
    </w:p>
    <w:p w:rsidR="00000000" w:rsidDel="00000000" w:rsidP="00000000" w:rsidRDefault="00000000" w:rsidRPr="00000000" w14:paraId="00000016">
      <w:pPr>
        <w:widowControl w:val="0"/>
        <w:spacing w:after="0" w:line="240" w:lineRule="auto"/>
        <w:ind w:hanging="2"/>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Технічна складова детальної пропозиції може отримати максимально 70 балів, фінансова – 30 балів.</w:t>
      </w:r>
    </w:p>
    <w:p w:rsidR="00000000" w:rsidDel="00000000" w:rsidP="00000000" w:rsidRDefault="00000000" w:rsidRPr="00000000" w14:paraId="00000017">
      <w:pPr>
        <w:widowControl w:val="0"/>
        <w:spacing w:after="0" w:line="240" w:lineRule="auto"/>
        <w:ind w:hanging="2"/>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018">
      <w:pPr>
        <w:widowControl w:val="0"/>
        <w:spacing w:after="0" w:line="240" w:lineRule="auto"/>
        <w:ind w:hanging="2"/>
        <w:rPr>
          <w:rFonts w:ascii="Arial" w:cs="Arial" w:eastAsia="Arial" w:hAnsi="Arial"/>
          <w:color w:val="ff0000"/>
          <w:sz w:val="20"/>
          <w:szCs w:val="20"/>
        </w:rPr>
      </w:pPr>
      <w:r w:rsidDel="00000000" w:rsidR="00000000" w:rsidRPr="00000000">
        <w:rPr>
          <w:rFonts w:ascii="Arial" w:cs="Arial" w:eastAsia="Arial" w:hAnsi="Arial"/>
          <w:b w:val="1"/>
          <w:bCs w:val="1"/>
          <w:color w:val="0000cc"/>
          <w:sz w:val="20"/>
          <w:szCs w:val="20"/>
          <w:rtl w:val="0"/>
        </w:rPr>
        <w:t xml:space="preserve">Просимо надіслати Вашу пропозицію не пізніше </w:t>
      </w:r>
      <w:r w:rsidDel="00000000" w:rsidR="00000000" w:rsidRPr="00000000">
        <w:rPr>
          <w:rFonts w:ascii="Arial" w:cs="Arial" w:eastAsia="Arial" w:hAnsi="Arial"/>
          <w:b w:val="1"/>
          <w:bCs w:val="1"/>
          <w:color w:val="0000cc"/>
          <w:sz w:val="20"/>
          <w:szCs w:val="20"/>
          <w:u w:val="single"/>
          <w:rtl w:val="0"/>
        </w:rPr>
        <w:t xml:space="preserve">11:00, 16 жовтня 2026 року</w:t>
      </w:r>
      <w:r w:rsidDel="00000000" w:rsidR="00000000" w:rsidRPr="00000000">
        <w:rPr>
          <w:rFonts w:ascii="Arial" w:cs="Arial" w:eastAsia="Arial" w:hAnsi="Arial"/>
          <w:b w:val="1"/>
          <w:bCs w:val="1"/>
          <w:color w:val="0000cc"/>
          <w:sz w:val="20"/>
          <w:szCs w:val="20"/>
          <w:rtl w:val="0"/>
        </w:rPr>
        <w:t xml:space="preserve"> на електронну адресу</w:t>
      </w:r>
      <w:r w:rsidDel="00000000" w:rsidR="00000000" w:rsidRPr="00000000">
        <w:rPr>
          <w:rFonts w:ascii="Arial" w:cs="Arial" w:eastAsia="Arial" w:hAnsi="Arial"/>
          <w:b w:val="1"/>
          <w:bCs w:val="1"/>
          <w:color w:val="0000ff"/>
          <w:sz w:val="20"/>
          <w:szCs w:val="20"/>
          <w:rtl w:val="0"/>
        </w:rPr>
        <w:t xml:space="preserve"> </w:t>
      </w:r>
      <w:hyperlink r:id="rId9">
        <w:r w:rsidDel="00000000" w:rsidR="00000000" w:rsidRPr="00000000">
          <w:rPr>
            <w:rFonts w:ascii="Arial" w:cs="Arial" w:eastAsia="Arial" w:hAnsi="Arial"/>
            <w:b w:val="1"/>
            <w:bCs w:val="1"/>
            <w:color w:val="ff0000"/>
            <w:sz w:val="20"/>
            <w:szCs w:val="20"/>
            <w:u w:val="single"/>
            <w:rtl w:val="0"/>
          </w:rPr>
          <w:t xml:space="preserve">tender@r2p.org.ua</w:t>
        </w:r>
      </w:hyperlink>
      <w:r w:rsidDel="00000000" w:rsidR="00000000" w:rsidRPr="00000000">
        <w:rPr>
          <w:rtl w:val="0"/>
        </w:rPr>
      </w:r>
    </w:p>
    <w:p w:rsidR="00000000" w:rsidDel="00000000" w:rsidP="00000000" w:rsidRDefault="00000000" w:rsidRPr="00000000" w14:paraId="00000019">
      <w:pPr>
        <w:widowControl w:val="0"/>
        <w:spacing w:after="0" w:line="240" w:lineRule="auto"/>
        <w:ind w:hanging="2"/>
        <w:rPr>
          <w:rFonts w:ascii="Arial" w:cs="Arial" w:eastAsia="Arial" w:hAnsi="Arial"/>
          <w:color w:val="ff0000"/>
          <w:sz w:val="20"/>
          <w:szCs w:val="20"/>
        </w:rPr>
      </w:pPr>
      <w:r w:rsidDel="00000000" w:rsidR="00000000" w:rsidRPr="00000000">
        <w:rPr>
          <w:rtl w:val="0"/>
        </w:rPr>
      </w:r>
    </w:p>
    <w:p w:rsidR="00000000" w:rsidDel="00000000" w:rsidP="00000000" w:rsidRDefault="00000000" w:rsidRPr="00000000" w14:paraId="0000001A">
      <w:pPr>
        <w:widowControl w:val="0"/>
        <w:spacing w:after="0" w:line="240" w:lineRule="auto"/>
        <w:ind w:hanging="2"/>
        <w:rPr>
          <w:rFonts w:ascii="Arial" w:cs="Arial" w:eastAsia="Arial" w:hAnsi="Arial"/>
          <w:color w:val="ff0000"/>
          <w:sz w:val="18"/>
          <w:szCs w:val="18"/>
        </w:rPr>
      </w:pPr>
      <w:bookmarkStart w:colFirst="0" w:colLast="0" w:name="_heading=h.8rnop0p4724q" w:id="0"/>
      <w:bookmarkEnd w:id="0"/>
      <w:r w:rsidDel="00000000" w:rsidR="00000000" w:rsidRPr="00000000">
        <w:rPr>
          <w:rFonts w:ascii="Arial" w:cs="Arial" w:eastAsia="Arial" w:hAnsi="Arial"/>
          <w:sz w:val="18"/>
          <w:szCs w:val="18"/>
          <w:rtl w:val="0"/>
        </w:rPr>
        <w:t xml:space="preserve">*Зверніть увагу, що при відправці на іншу електронну адресу пропозиція не буде допущена до участі в тендері.</w:t>
      </w:r>
      <w:r w:rsidDel="00000000" w:rsidR="00000000" w:rsidRPr="00000000">
        <w:rPr>
          <w:rtl w:val="0"/>
        </w:rPr>
      </w:r>
    </w:p>
    <w:p w:rsidR="00000000" w:rsidDel="00000000" w:rsidP="00000000" w:rsidRDefault="00000000" w:rsidRPr="00000000" w14:paraId="0000001B">
      <w:pPr>
        <w:widowControl w:val="0"/>
        <w:spacing w:after="0" w:line="240" w:lineRule="auto"/>
        <w:ind w:hanging="2"/>
        <w:rPr>
          <w:rFonts w:ascii="Arial" w:cs="Arial" w:eastAsia="Arial" w:hAnsi="Arial"/>
          <w:color w:val="ff0000"/>
          <w:sz w:val="20"/>
          <w:szCs w:val="20"/>
        </w:rPr>
      </w:pPr>
      <w:r w:rsidDel="00000000" w:rsidR="00000000" w:rsidRPr="00000000">
        <w:rPr>
          <w:rtl w:val="0"/>
        </w:rPr>
      </w:r>
    </w:p>
    <w:p w:rsidR="00000000" w:rsidDel="00000000" w:rsidP="00000000" w:rsidRDefault="00000000" w:rsidRPr="00000000" w14:paraId="0000001C">
      <w:pPr>
        <w:widowControl w:val="0"/>
        <w:spacing w:after="0" w:line="240" w:lineRule="auto"/>
        <w:ind w:hanging="2"/>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Ваша пропозиція розглядатиметься протягом 14 днів після завершення збору пропозицій, про результати буде повідомлено окремо.</w:t>
      </w:r>
    </w:p>
    <w:p w:rsidR="00000000" w:rsidDel="00000000" w:rsidP="00000000" w:rsidRDefault="00000000" w:rsidRPr="00000000" w14:paraId="0000001D">
      <w:pPr>
        <w:widowControl w:val="0"/>
        <w:spacing w:after="0" w:line="240" w:lineRule="auto"/>
        <w:ind w:hanging="2"/>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Фонд має право прийняти або відхилити будь-яку пропозицію, а також скасувати тендер у будь-який час до укладення договору з постачальником, не несучи відповідальності перед учасниками тендеру.</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Учасник не має бути в санкційних списках України, ЄС, США, Канади, Японії, Великобританії.</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Учасник не має перебувати в процесі припинення діяльності ТОВ або ФОП.</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Arial" w:cs="Arial" w:eastAsia="Arial" w:hAnsi="Arial"/>
          <w:sz w:val="20"/>
          <w:szCs w:val="20"/>
        </w:rPr>
      </w:pPr>
      <w:r w:rsidDel="00000000" w:rsidR="00000000" w:rsidRPr="00000000">
        <w:rPr>
          <w:rFonts w:ascii="Arial" w:cs="Arial" w:eastAsia="Arial" w:hAnsi="Arial"/>
          <w:sz w:val="20"/>
          <w:szCs w:val="20"/>
          <w:rtl w:val="0"/>
        </w:rPr>
        <w:br w:type="textWrapping"/>
        <w:br w:type="textWrapping"/>
        <w:t xml:space="preserve">БФ «Право на захист» може на власний розгляд продовжити термін подання тендерних пропозицій, повідомивши про це запрошених учасників тендеру одночасно. Продовження терміну може супроводжувати внесення змін у документи про запрошення до участі у тендері, підготовлені БФ «Право на захист» за його власною ініціативою чи у відповідь на запит щодо роз’яснення, надісланий можливим постачальником.</w:t>
      </w:r>
    </w:p>
    <w:p w:rsidR="00000000" w:rsidDel="00000000" w:rsidP="00000000" w:rsidRDefault="00000000" w:rsidRPr="00000000" w14:paraId="00000022">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3">
      <w:pPr>
        <w:widowControl w:val="0"/>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Дякуємо за співпрацю!</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З повагою,</w:t>
        <w:tab/>
        <w:tab/>
        <w:tab/>
        <w:tab/>
        <w:tab/>
        <w:tab/>
        <w:tab/>
        <w:tab/>
        <w:tab/>
        <w:t xml:space="preserve">Президент Олександр Галкін</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Тендерна документація затверджена                                                                     заступник експерта закупівель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                                                                                                                                    Ксенія Коробова</w:t>
      </w:r>
    </w:p>
    <w:p w:rsidR="00000000" w:rsidDel="00000000" w:rsidP="00000000" w:rsidRDefault="00000000" w:rsidRPr="00000000" w14:paraId="0000002B">
      <w:pPr>
        <w:widowControl w:val="0"/>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C">
      <w:pPr>
        <w:widowControl w:val="0"/>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D">
      <w:pPr>
        <w:widowControl w:val="0"/>
        <w:spacing w:after="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2E">
      <w:pPr>
        <w:widowControl w:val="0"/>
        <w:spacing w:after="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«БФ «Право на Захист» докладає зусиль із запобігання, виявлення та вжиття заходів проти всіх випадків шахрайства та зловживань. Конфіденційна гаряча лінія по боротьбі з шахрайством та зловживаннями доступна для всіх учасників конкурсних торгів, про підозрілі та шахрайські дії має бути повідомлено на пошту: complaint@r2p.org.ua або за тел: +380 99 217 58 95 «гаряча лінія» для скарг БФ «Право на Захист» реалізує політику нульової толерантності щодо подарунків та знаків вдячності. Таким чином, закликаємо постачальників не надсилати дарунки або проявляти інші знаки вдячності співробітникам Фонду. Учасники торгів, які вважають, що при процесі подання, оцінки пропозицій або присудження контракту, представники Фонду вчиняли дискримінаційні порушення, факти шахрайства, недоброчесні дії, мали місце факти зловживань, можуть подати скаргу на електронну пошту: complaint@r2p.org.ua або за тел: +380 99 217 58 95 «гаряча лінія» для скарг.</w:t>
        <w:br w:type="textWrapping"/>
      </w:r>
    </w:p>
    <w:p w:rsidR="00000000" w:rsidDel="00000000" w:rsidP="00000000" w:rsidRDefault="00000000" w:rsidRPr="00000000" w14:paraId="0000002F">
      <w:pPr>
        <w:widowControl w:val="0"/>
        <w:spacing w:after="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Зважаючи на те, що Замовник є імплементуючим партнером агенції Організації об’єднаних націй – УВКБ ООН, та ООН вимагає від всіх постачальників ООН та постачальників партнерських організацій керуватися високими етичними принципами й моральними нормами, Постачальник приймає на себе зобов’язання дотримуватися Кодексу поведінки постачальника ООН (укр мовою наведений за посиланням - https://www.unhcr.org/ua/media/dodatok-e-kodeks-povedinky-postachalnykiv-oon-p</w:t>
      </w:r>
    </w:p>
    <w:sectPr>
      <w:headerReference r:id="rId10" w:type="default"/>
      <w:footerReference r:id="rId11" w:type="default"/>
      <w:pgSz w:h="16838" w:w="11906" w:orient="portrait"/>
      <w:pgMar w:bottom="993" w:top="39" w:left="709" w:right="707" w:header="254"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center" w:leader="none" w:pos="4819"/>
        <w:tab w:val="right" w:leader="none" w:pos="9639"/>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rPr/>
    </w:pPr>
    <w:r w:rsidDel="00000000" w:rsidR="00000000" w:rsidRPr="00000000">
      <w:rPr>
        <w:rtl w:val="0"/>
      </w:rPr>
      <w:t xml:space="preserve">      </w:t>
    </w:r>
  </w:p>
  <w:p w:rsidR="00000000" w:rsidDel="00000000" w:rsidP="00000000" w:rsidRDefault="00000000" w:rsidRPr="00000000" w14:paraId="00000031">
    <w:pPr>
      <w:pBdr>
        <w:top w:space="0" w:sz="0" w:val="nil"/>
        <w:left w:space="0" w:sz="0" w:val="nil"/>
        <w:bottom w:space="0" w:sz="0" w:val="nil"/>
        <w:right w:space="0" w:sz="0" w:val="nil"/>
        <w:between w:space="0" w:sz="0" w:val="nil"/>
      </w:pBdr>
      <w:tabs>
        <w:tab w:val="center" w:leader="none" w:pos="4819"/>
        <w:tab w:val="right" w:leader="none" w:pos="9639"/>
        <w:tab w:val="left" w:leader="none" w:pos="8661"/>
      </w:tabs>
      <w:spacing w:after="0" w:line="240" w:lineRule="auto"/>
      <w:rPr>
        <w:color w:val="0053f0"/>
        <w:sz w:val="20"/>
        <w:szCs w:val="20"/>
      </w:rPr>
    </w:pPr>
    <w:r w:rsidDel="00000000" w:rsidR="00000000" w:rsidRPr="00000000">
      <w:rPr>
        <w:color w:val="0053f0"/>
        <w:sz w:val="20"/>
        <w:szCs w:val="20"/>
        <w:rtl w:val="0"/>
      </w:rPr>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uk"/>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table" w:styleId="TableNormal4" w:customStyle="1">
    <w:name w:val="Table Normal"/>
    <w:tblPr>
      <w:tblCellMar>
        <w:top w:w="0.0" w:type="dxa"/>
        <w:left w:w="0.0" w:type="dxa"/>
        <w:bottom w:w="0.0" w:type="dxa"/>
        <w:right w:w="0.0" w:type="dxa"/>
      </w:tblCellMar>
    </w:tblPr>
  </w:style>
  <w:style w:type="table" w:styleId="TableNormal5" w:customStyle="1">
    <w:name w:val="Table Normal"/>
    <w:tblPr>
      <w:tblCellMar>
        <w:top w:w="0.0" w:type="dxa"/>
        <w:left w:w="0.0" w:type="dxa"/>
        <w:bottom w:w="0.0" w:type="dxa"/>
        <w:right w:w="0.0" w:type="dxa"/>
      </w:tblCellMar>
    </w:tblPr>
  </w:style>
  <w:style w:type="table" w:styleId="TableNormal6" w:customStyle="1">
    <w:name w:val="Table Normal"/>
    <w:tblPr>
      <w:tblCellMar>
        <w:top w:w="0.0" w:type="dxa"/>
        <w:left w:w="0.0" w:type="dxa"/>
        <w:bottom w:w="0.0" w:type="dxa"/>
        <w:right w:w="0.0" w:type="dxa"/>
      </w:tblCellMar>
    </w:tblPr>
  </w:style>
  <w:style w:type="table" w:styleId="TableNormal7" w:customStyle="1">
    <w:name w:val="Table Normal"/>
    <w:tblPr>
      <w:tblCellMar>
        <w:top w:w="0.0" w:type="dxa"/>
        <w:left w:w="0.0" w:type="dxa"/>
        <w:bottom w:w="0.0" w:type="dxa"/>
        <w:right w:w="0.0" w:type="dxa"/>
      </w:tblCellMar>
    </w:tblPr>
  </w:style>
  <w:style w:type="table" w:styleId="TableNormal8" w:customStyle="1">
    <w:name w:val="Table Normal"/>
    <w:tblPr>
      <w:tblCellMar>
        <w:top w:w="0.0" w:type="dxa"/>
        <w:left w:w="0.0" w:type="dxa"/>
        <w:bottom w:w="0.0" w:type="dxa"/>
        <w:right w:w="0.0" w:type="dxa"/>
      </w:tblCellMar>
    </w:tblPr>
  </w:style>
  <w:style w:type="table" w:styleId="TableNormal9" w:customStyle="1">
    <w:name w:val="Table Normal"/>
    <w:tblPr>
      <w:tblCellMar>
        <w:top w:w="0.0" w:type="dxa"/>
        <w:left w:w="0.0" w:type="dxa"/>
        <w:bottom w:w="0.0" w:type="dxa"/>
        <w:right w:w="0.0" w:type="dxa"/>
      </w:tblCellMar>
    </w:tblPr>
  </w:style>
  <w:style w:type="table" w:styleId="TableNormala" w:customStyle="1">
    <w:name w:val="Table Normal"/>
    <w:tblPr>
      <w:tblCellMar>
        <w:top w:w="0.0" w:type="dxa"/>
        <w:left w:w="0.0" w:type="dxa"/>
        <w:bottom w:w="0.0" w:type="dxa"/>
        <w:right w:w="0.0" w:type="dxa"/>
      </w:tblCellMar>
    </w:tblPr>
  </w:style>
  <w:style w:type="table" w:styleId="TableNormalb" w:customStyle="1">
    <w:name w:val="Table Normal"/>
    <w:tblPr>
      <w:tblCellMar>
        <w:top w:w="0.0" w:type="dxa"/>
        <w:left w:w="0.0" w:type="dxa"/>
        <w:bottom w:w="0.0" w:type="dxa"/>
        <w:right w:w="0.0" w:type="dxa"/>
      </w:tblCellMar>
    </w:tblPr>
  </w:style>
  <w:style w:type="table" w:styleId="TableNormalc" w:customStyle="1">
    <w:name w:val="Table Normal"/>
    <w:tblPr>
      <w:tblCellMar>
        <w:top w:w="0.0" w:type="dxa"/>
        <w:left w:w="0.0" w:type="dxa"/>
        <w:bottom w:w="0.0" w:type="dxa"/>
        <w:right w:w="0.0" w:type="dxa"/>
      </w:tblCellMar>
    </w:tblPr>
  </w:style>
  <w:style w:type="table" w:styleId="TableNormald" w:customStyle="1">
    <w:name w:val="Table Normal"/>
    <w:tblPr>
      <w:tblCellMar>
        <w:top w:w="0.0" w:type="dxa"/>
        <w:left w:w="0.0" w:type="dxa"/>
        <w:bottom w:w="0.0" w:type="dxa"/>
        <w:right w:w="0.0" w:type="dxa"/>
      </w:tblCellMar>
    </w:tblPr>
  </w:style>
  <w:style w:type="paragraph" w:styleId="a4">
    <w:name w:val="header"/>
    <w:link w:val="a5"/>
    <w:uiPriority w:val="99"/>
    <w:unhideWhenUsed w:val="1"/>
    <w:rsid w:val="00B85993"/>
    <w:pPr>
      <w:tabs>
        <w:tab w:val="center" w:pos="4819"/>
        <w:tab w:val="right" w:pos="9639"/>
      </w:tabs>
      <w:spacing w:after="0" w:line="240" w:lineRule="auto"/>
    </w:pPr>
  </w:style>
  <w:style w:type="character" w:styleId="a5" w:customStyle="1">
    <w:name w:val="Верхній колонтитул Знак"/>
    <w:basedOn w:val="a0"/>
    <w:link w:val="a4"/>
    <w:uiPriority w:val="99"/>
    <w:rsid w:val="00B85993"/>
  </w:style>
  <w:style w:type="paragraph" w:styleId="a6">
    <w:name w:val="footer"/>
    <w:link w:val="a7"/>
    <w:uiPriority w:val="99"/>
    <w:unhideWhenUsed w:val="1"/>
    <w:rsid w:val="00B85993"/>
    <w:pPr>
      <w:tabs>
        <w:tab w:val="center" w:pos="4819"/>
        <w:tab w:val="right" w:pos="9639"/>
      </w:tabs>
      <w:spacing w:after="0" w:line="240" w:lineRule="auto"/>
    </w:pPr>
  </w:style>
  <w:style w:type="character" w:styleId="a7" w:customStyle="1">
    <w:name w:val="Нижній колонтитул Знак"/>
    <w:basedOn w:val="a0"/>
    <w:link w:val="a6"/>
    <w:uiPriority w:val="99"/>
    <w:rsid w:val="00B85993"/>
  </w:style>
  <w:style w:type="paragraph" w:styleId="a8">
    <w:name w:val="Balloon Text"/>
    <w:link w:val="a9"/>
    <w:uiPriority w:val="99"/>
    <w:semiHidden w:val="1"/>
    <w:unhideWhenUsed w:val="1"/>
    <w:rsid w:val="00B85993"/>
    <w:pPr>
      <w:spacing w:after="0" w:line="240" w:lineRule="auto"/>
    </w:pPr>
    <w:rPr>
      <w:rFonts w:ascii="Tahoma" w:cs="Tahoma" w:hAnsi="Tahoma"/>
      <w:sz w:val="16"/>
      <w:szCs w:val="16"/>
    </w:rPr>
  </w:style>
  <w:style w:type="character" w:styleId="a9" w:customStyle="1">
    <w:name w:val="Текст у виносці Знак"/>
    <w:basedOn w:val="a0"/>
    <w:link w:val="a8"/>
    <w:uiPriority w:val="99"/>
    <w:semiHidden w:val="1"/>
    <w:rsid w:val="00B85993"/>
    <w:rPr>
      <w:rFonts w:ascii="Tahoma" w:cs="Tahoma" w:hAnsi="Tahoma"/>
      <w:sz w:val="16"/>
      <w:szCs w:val="16"/>
    </w:rPr>
  </w:style>
  <w:style w:type="table" w:styleId="aa">
    <w:name w:val="Table Grid"/>
    <w:basedOn w:val="a1"/>
    <w:uiPriority w:val="59"/>
    <w:rsid w:val="00A873AE"/>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ab">
    <w:name w:val="Hyperlink"/>
    <w:basedOn w:val="a0"/>
    <w:uiPriority w:val="99"/>
    <w:unhideWhenUsed w:val="1"/>
    <w:rsid w:val="00A873AE"/>
    <w:rPr>
      <w:color w:val="0000ff"/>
      <w:u w:val="single"/>
    </w:rPr>
  </w:style>
  <w:style w:type="paragraph" w:styleId="ac">
    <w:name w:val="List Paragraph"/>
    <w:uiPriority w:val="34"/>
    <w:qFormat w:val="1"/>
    <w:rsid w:val="006C4CB5"/>
    <w:pPr>
      <w:ind w:left="720"/>
      <w:contextualSpacing w:val="1"/>
    </w:pPr>
    <w:rPr>
      <w:lang w:val="ru-RU"/>
    </w:rPr>
  </w:style>
  <w:style w:type="paragraph" w:styleId="ad">
    <w:name w:val="Normal (Web)"/>
    <w:uiPriority w:val="99"/>
    <w:unhideWhenUsed w:val="1"/>
    <w:rsid w:val="006C4CB5"/>
    <w:pPr>
      <w:spacing w:after="100" w:afterAutospacing="1" w:before="100" w:beforeAutospacing="1" w:line="240" w:lineRule="auto"/>
    </w:pPr>
    <w:rPr>
      <w:rFonts w:ascii="Times New Roman" w:cs="Times New Roman" w:eastAsia="Times New Roman" w:hAnsi="Times New Roman"/>
      <w:sz w:val="24"/>
      <w:szCs w:val="24"/>
      <w:lang w:val="ru-RU"/>
    </w:rPr>
  </w:style>
  <w:style w:type="table" w:styleId="ae" w:customStyle="1">
    <w:basedOn w:val="TableNormald"/>
    <w:pPr>
      <w:spacing w:after="0" w:line="240" w:lineRule="auto"/>
    </w:pPr>
    <w:tblPr>
      <w:tblStyleRowBandSize w:val="1"/>
      <w:tblStyleColBandSize w:val="1"/>
      <w:tblCellMar>
        <w:left w:w="108.0" w:type="dxa"/>
        <w:right w:w="108.0" w:type="dxa"/>
      </w:tblCellMar>
    </w:tblPr>
  </w:style>
  <w:style w:type="table" w:styleId="af" w:customStyle="1">
    <w:basedOn w:val="TableNormald"/>
    <w:pPr>
      <w:spacing w:after="0" w:line="240" w:lineRule="auto"/>
    </w:pPr>
    <w:tblPr>
      <w:tblStyleRowBandSize w:val="1"/>
      <w:tblStyleColBandSize w:val="1"/>
      <w:tblCellMar>
        <w:left w:w="108.0" w:type="dxa"/>
        <w:right w:w="108.0" w:type="dxa"/>
      </w:tblCellMar>
    </w:tblPr>
  </w:style>
  <w:style w:type="table" w:styleId="20">
    <w:name w:val="Plain Table 2"/>
    <w:basedOn w:val="a1"/>
    <w:uiPriority w:val="42"/>
    <w:rsid w:val="00E33105"/>
    <w:pPr>
      <w:spacing w:after="0" w:line="240" w:lineRule="auto"/>
    </w:pPr>
    <w:tblPr>
      <w:tblStyleRowBandSize w:val="1"/>
      <w:tblStyleColBandSize w:val="1"/>
      <w:tblBorders>
        <w:top w:color="7f7f7f" w:space="0" w:sz="4" w:themeColor="text1" w:themeTint="000080" w:val="single"/>
        <w:bottom w:color="7f7f7f" w:space="0" w:sz="4" w:themeColor="text1" w:themeTint="000080" w:val="single"/>
      </w:tblBorders>
    </w:tblPr>
    <w:tblStylePr w:type="firstRow">
      <w:rPr>
        <w:b w:val="1"/>
        <w:bCs w:val="1"/>
      </w:rPr>
      <w:tblPr/>
      <w:tcPr>
        <w:tcBorders>
          <w:bottom w:color="7f7f7f" w:space="0" w:sz="4" w:themeColor="text1" w:themeTint="000080" w:val="single"/>
        </w:tcBorders>
      </w:tcPr>
    </w:tblStylePr>
    <w:tblStylePr w:type="lastRow">
      <w:rPr>
        <w:b w:val="1"/>
        <w:bCs w:val="1"/>
      </w:rPr>
      <w:tblPr/>
      <w:tcPr>
        <w:tcBorders>
          <w:top w:color="7f7f7f" w:space="0" w:sz="4" w:themeColor="text1" w:themeTint="000080" w:val="single"/>
        </w:tcBorders>
      </w:tcPr>
    </w:tblStylePr>
    <w:tblStylePr w:type="firstCol">
      <w:rPr>
        <w:b w:val="1"/>
        <w:bCs w:val="1"/>
      </w:rPr>
    </w:tblStylePr>
    <w:tblStylePr w:type="lastCol">
      <w:rPr>
        <w:b w:val="1"/>
        <w:bCs w:val="1"/>
      </w:rPr>
    </w:tblStylePr>
    <w:tblStylePr w:type="band1Vert">
      <w:tblPr/>
      <w:tcPr>
        <w:tcBorders>
          <w:left w:color="7f7f7f" w:space="0" w:sz="4" w:themeColor="text1" w:themeTint="000080" w:val="single"/>
          <w:right w:color="7f7f7f" w:space="0" w:sz="4" w:themeColor="text1" w:themeTint="000080" w:val="single"/>
        </w:tcBorders>
      </w:tcPr>
    </w:tblStylePr>
    <w:tblStylePr w:type="band2Vert">
      <w:tblPr/>
      <w:tcPr>
        <w:tcBorders>
          <w:left w:color="7f7f7f" w:space="0" w:sz="4" w:themeColor="text1" w:themeTint="000080" w:val="single"/>
          <w:right w:color="7f7f7f" w:space="0" w:sz="4" w:themeColor="text1" w:themeTint="000080" w:val="single"/>
        </w:tcBorders>
      </w:tcPr>
    </w:tblStylePr>
    <w:tblStylePr w:type="band1Horz">
      <w:tblPr/>
      <w:tcPr>
        <w:tcBorders>
          <w:top w:color="7f7f7f" w:space="0" w:sz="4" w:themeColor="text1" w:themeTint="000080" w:val="single"/>
          <w:bottom w:color="7f7f7f" w:space="0" w:sz="4" w:themeColor="text1" w:themeTint="000080" w:val="single"/>
        </w:tcBorders>
      </w:tcPr>
    </w:tblStylePr>
  </w:style>
  <w:style w:type="table" w:styleId="af0" w:customStyle="1">
    <w:basedOn w:val="TableNormalc"/>
    <w:pPr>
      <w:spacing w:after="0" w:line="240" w:lineRule="auto"/>
    </w:pPr>
    <w:tblPr>
      <w:tblStyleRowBandSize w:val="1"/>
      <w:tblStyleColBandSize w:val="1"/>
      <w:tblCellMar>
        <w:left w:w="108.0" w:type="dxa"/>
        <w:right w:w="108.0" w:type="dxa"/>
      </w:tblCellMar>
    </w:tblPr>
  </w:style>
  <w:style w:type="table" w:styleId="af1" w:customStyle="1">
    <w:basedOn w:val="TableNormalc"/>
    <w:pPr>
      <w:spacing w:after="0" w:line="240" w:lineRule="auto"/>
    </w:pPr>
    <w:tblPr>
      <w:tblStyleRowBandSize w:val="1"/>
      <w:tblStyleColBandSize w:val="1"/>
      <w:tblCellMar>
        <w:left w:w="108.0" w:type="dxa"/>
        <w:right w:w="108.0" w:type="dxa"/>
      </w:tblCellMar>
    </w:tblPr>
  </w:style>
  <w:style w:type="table" w:styleId="af2" w:customStyle="1">
    <w:basedOn w:val="TableNormalc"/>
    <w:pPr>
      <w:spacing w:after="0" w:line="240" w:lineRule="auto"/>
    </w:pPr>
    <w:tblPr>
      <w:tblStyleRowBandSize w:val="1"/>
      <w:tblStyleColBandSize w:val="1"/>
      <w:tblCellMar>
        <w:left w:w="108.0" w:type="dxa"/>
        <w:right w:w="108.0" w:type="dxa"/>
      </w:tblCellMar>
    </w:tblPr>
  </w:style>
  <w:style w:type="table" w:styleId="af3" w:customStyle="1">
    <w:basedOn w:val="TableNormalc"/>
    <w:pPr>
      <w:spacing w:after="0" w:line="240" w:lineRule="auto"/>
    </w:pPr>
    <w:tblPr>
      <w:tblStyleRowBandSize w:val="1"/>
      <w:tblStyleColBandSize w:val="1"/>
      <w:tblCellMar>
        <w:left w:w="108.0" w:type="dxa"/>
        <w:right w:w="108.0" w:type="dxa"/>
      </w:tblCellMar>
    </w:tblPr>
  </w:style>
  <w:style w:type="character" w:styleId="af4">
    <w:name w:val="Unresolved Mention"/>
    <w:basedOn w:val="a0"/>
    <w:uiPriority w:val="99"/>
    <w:semiHidden w:val="1"/>
    <w:unhideWhenUsed w:val="1"/>
    <w:rsid w:val="00577075"/>
    <w:rPr>
      <w:color w:val="605e5c"/>
      <w:shd w:color="auto" w:fill="e1dfdd" w:val="clear"/>
    </w:rPr>
  </w:style>
  <w:style w:type="table" w:styleId="af5" w:customStyle="1">
    <w:basedOn w:val="TableNormala"/>
    <w:tblPr>
      <w:tblStyleRowBandSize w:val="1"/>
      <w:tblStyleColBandSize w:val="1"/>
      <w:tblCellMar>
        <w:top w:w="100.0" w:type="dxa"/>
        <w:left w:w="100.0" w:type="dxa"/>
        <w:bottom w:w="100.0" w:type="dxa"/>
        <w:right w:w="100.0" w:type="dxa"/>
      </w:tblCellMar>
    </w:tblPr>
  </w:style>
  <w:style w:type="table" w:styleId="af6" w:customStyle="1">
    <w:basedOn w:val="TableNormala"/>
    <w:tblPr>
      <w:tblStyleRowBandSize w:val="1"/>
      <w:tblStyleColBandSize w:val="1"/>
      <w:tblCellMar>
        <w:top w:w="100.0" w:type="dxa"/>
        <w:left w:w="100.0" w:type="dxa"/>
        <w:bottom w:w="100.0" w:type="dxa"/>
        <w:right w:w="100.0" w:type="dxa"/>
      </w:tblCellMar>
    </w:tblPr>
  </w:style>
  <w:style w:type="table" w:styleId="af7" w:customStyle="1">
    <w:basedOn w:val="TableNormal8"/>
    <w:tblPr>
      <w:tblStyleRowBandSize w:val="1"/>
      <w:tblStyleColBandSize w:val="1"/>
      <w:tblCellMar>
        <w:left w:w="115.0" w:type="dxa"/>
        <w:right w:w="115.0" w:type="dxa"/>
      </w:tblCellMar>
    </w:tblPr>
  </w:style>
  <w:style w:type="table" w:styleId="af8" w:customStyle="1">
    <w:basedOn w:val="TableNormal8"/>
    <w:tblPr>
      <w:tblStyleRowBandSize w:val="1"/>
      <w:tblStyleColBandSize w:val="1"/>
      <w:tblCellMar>
        <w:left w:w="115.0" w:type="dxa"/>
        <w:right w:w="115.0" w:type="dxa"/>
      </w:tblCellMar>
    </w:tblPr>
  </w:style>
  <w:style w:type="paragraph" w:styleId="af9">
    <w:name w:val="No Spacing"/>
    <w:uiPriority w:val="1"/>
    <w:qFormat w:val="1"/>
    <w:rsid w:val="00A36219"/>
    <w:pPr>
      <w:spacing w:after="0" w:line="240" w:lineRule="auto"/>
    </w:pPr>
  </w:style>
  <w:style w:type="character" w:styleId="afb">
    <w:name w:val="Strong"/>
    <w:basedOn w:val="a0"/>
    <w:uiPriority w:val="22"/>
    <w:qFormat w:val="1"/>
    <w:rsid w:val="00ED782E"/>
    <w:rPr>
      <w:b w:val="1"/>
      <w:bCs w:val="1"/>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mailto:tender@r2p.org.ua"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m.terletska@r2p.org.ua" TargetMode="External"/><Relationship Id="rId8" Type="http://schemas.openxmlformats.org/officeDocument/2006/relationships/hyperlink" Target="mailto:d.minin@r2p.org.u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D+FUkQzkl1mMTLrgU4UNgHacZQ==">CgMxLjAyDmguOHJub3AwcDQ3MjRxOAByITF6X3E5Yko3VC1keXNIZm9wcURieGEzZU9wcHRnUUtXUQ==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2024-09-26T09:26:00Z</dcterms:created>
  <dc:creator>WK</dc:creator>
</cp:coreProperties>
</file>