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00F" w:rsidRDefault="0058710B">
      <w:pPr>
        <w:widowControl w:val="0"/>
        <w:spacing w:after="200"/>
        <w:jc w:val="both"/>
      </w:pPr>
      <w:r>
        <w:rPr>
          <w:highlight w:val="white"/>
        </w:rPr>
        <w:t>30 жовтня 2024 р.</w:t>
      </w:r>
    </w:p>
    <w:p w:rsidR="0086600F" w:rsidRDefault="0058710B">
      <w:pPr>
        <w:widowControl w:val="0"/>
        <w:spacing w:after="200"/>
        <w:ind w:firstLine="720"/>
        <w:jc w:val="center"/>
        <w:rPr>
          <w:b/>
        </w:rPr>
      </w:pPr>
      <w:r>
        <w:rPr>
          <w:b/>
        </w:rPr>
        <w:t>Технічне завдання для закупівлі послуг</w:t>
      </w:r>
    </w:p>
    <w:p w:rsidR="0086600F" w:rsidRDefault="0058710B">
      <w:pPr>
        <w:widowControl w:val="0"/>
        <w:spacing w:after="200"/>
        <w:ind w:firstLine="720"/>
        <w:jc w:val="center"/>
        <w:rPr>
          <w:b/>
        </w:rPr>
      </w:pPr>
      <w:r>
        <w:rPr>
          <w:b/>
        </w:rPr>
        <w:t>Ментора для проведення навчального тренінгу для ТОП менеджменту Благодійного Фонду “Право на Захист”</w:t>
      </w:r>
    </w:p>
    <w:p w:rsidR="0086600F" w:rsidRDefault="0058710B">
      <w:pPr>
        <w:widowControl w:val="0"/>
        <w:spacing w:before="240" w:after="240"/>
        <w:jc w:val="both"/>
      </w:pPr>
      <w:r>
        <w:t xml:space="preserve">Благодійна організація «БЛАГОДІЙНИЙ ФОНД «ПРАВО НА ЗАХИСТ» (далі – Фонд) реалізовує комплексну навчальну програму для ТОП менеджменту Фонду. Програма складається з п’яти (5) офлайн модулів, кожен з яких триватиме три (3) дні по вісім (8) годин. Навчання спрямоване на підвищення рівня стратегічного та операційного управління неприбутковою організацією, а також на розвиток креативних та інноваційних підходів до </w:t>
      </w:r>
      <w:proofErr w:type="spellStart"/>
      <w:r>
        <w:t>проєктної</w:t>
      </w:r>
      <w:proofErr w:type="spellEnd"/>
      <w:r>
        <w:t xml:space="preserve"> діяльності.</w:t>
      </w:r>
    </w:p>
    <w:p w:rsidR="0086600F" w:rsidRDefault="0058710B">
      <w:pPr>
        <w:widowControl w:val="0"/>
        <w:spacing w:before="240" w:after="240"/>
      </w:pPr>
      <w:r>
        <w:t xml:space="preserve">Програма навчання знаходиться за посиланням: </w:t>
      </w:r>
      <w:hyperlink r:id="rId8">
        <w:r>
          <w:rPr>
            <w:color w:val="1155CC"/>
            <w:u w:val="single"/>
          </w:rPr>
          <w:t>https://drive.google.com/file/d/18HHeMsywiRaD3qOSWYcVNhTM5J7BrQN9/view?usp=sharing</w:t>
        </w:r>
      </w:hyperlink>
      <w:r>
        <w:t xml:space="preserve"> </w:t>
      </w:r>
      <w:r>
        <w:br/>
        <w:t>та включає наступні модулі:</w:t>
      </w:r>
    </w:p>
    <w:p w:rsidR="0086600F" w:rsidRDefault="0058710B">
      <w:pPr>
        <w:widowControl w:val="0"/>
        <w:numPr>
          <w:ilvl w:val="0"/>
          <w:numId w:val="3"/>
        </w:numPr>
        <w:spacing w:before="240" w:after="0"/>
      </w:pPr>
      <w:r>
        <w:rPr>
          <w:b/>
        </w:rPr>
        <w:t>Модуль 1</w:t>
      </w:r>
      <w:r>
        <w:t xml:space="preserve">: </w:t>
      </w:r>
      <w:proofErr w:type="spellStart"/>
      <w:r>
        <w:t>Візія</w:t>
      </w:r>
      <w:proofErr w:type="spellEnd"/>
      <w:r>
        <w:t xml:space="preserve"> та Стратегічна ідея організації</w:t>
      </w:r>
    </w:p>
    <w:p w:rsidR="0086600F" w:rsidRDefault="0058710B">
      <w:pPr>
        <w:widowControl w:val="0"/>
        <w:numPr>
          <w:ilvl w:val="0"/>
          <w:numId w:val="3"/>
        </w:numPr>
        <w:spacing w:after="0"/>
      </w:pPr>
      <w:r>
        <w:rPr>
          <w:b/>
        </w:rPr>
        <w:t>Модуль 2</w:t>
      </w:r>
      <w:r>
        <w:t xml:space="preserve">: Розробка стратегії, </w:t>
      </w:r>
      <w:proofErr w:type="spellStart"/>
      <w:r>
        <w:t>внутрішньоорганізаційна</w:t>
      </w:r>
      <w:proofErr w:type="spellEnd"/>
      <w:r>
        <w:t xml:space="preserve"> культура та проектна діяльність</w:t>
      </w:r>
    </w:p>
    <w:p w:rsidR="0086600F" w:rsidRDefault="0058710B">
      <w:pPr>
        <w:widowControl w:val="0"/>
        <w:numPr>
          <w:ilvl w:val="0"/>
          <w:numId w:val="3"/>
        </w:numPr>
        <w:spacing w:after="0"/>
      </w:pPr>
      <w:r>
        <w:rPr>
          <w:b/>
        </w:rPr>
        <w:t>Модуль 3</w:t>
      </w:r>
      <w:r>
        <w:t>: Бізнес-модель неприбуткової організації</w:t>
      </w:r>
    </w:p>
    <w:p w:rsidR="0086600F" w:rsidRDefault="0058710B">
      <w:pPr>
        <w:widowControl w:val="0"/>
        <w:numPr>
          <w:ilvl w:val="0"/>
          <w:numId w:val="3"/>
        </w:numPr>
        <w:spacing w:after="0"/>
      </w:pPr>
      <w:r>
        <w:rPr>
          <w:b/>
        </w:rPr>
        <w:t>Модуль 4</w:t>
      </w:r>
      <w:r>
        <w:t xml:space="preserve">: Бізнес-процеси, управління діяльністю та перетин із </w:t>
      </w:r>
      <w:proofErr w:type="spellStart"/>
      <w:r>
        <w:t>проєктною</w:t>
      </w:r>
      <w:proofErr w:type="spellEnd"/>
      <w:r>
        <w:t xml:space="preserve"> діяльністю</w:t>
      </w:r>
    </w:p>
    <w:p w:rsidR="0086600F" w:rsidRDefault="0058710B">
      <w:pPr>
        <w:widowControl w:val="0"/>
        <w:numPr>
          <w:ilvl w:val="0"/>
          <w:numId w:val="3"/>
        </w:numPr>
        <w:spacing w:after="240"/>
      </w:pPr>
      <w:r>
        <w:rPr>
          <w:b/>
        </w:rPr>
        <w:t>Модуль 5</w:t>
      </w:r>
      <w:r>
        <w:t>: Програмна діяльність, креативність, інновації та інтеграція</w:t>
      </w:r>
    </w:p>
    <w:p w:rsidR="0086600F" w:rsidRDefault="0058710B">
      <w:pPr>
        <w:widowControl w:val="0"/>
        <w:spacing w:before="240" w:after="240"/>
        <w:jc w:val="both"/>
      </w:pPr>
      <w:r>
        <w:t>Навчальна програма розроблена з урахуванням сучасних викликів для неприбуткових організацій та базується на практичних підходах до організаційного розвитку.</w:t>
      </w:r>
    </w:p>
    <w:p w:rsidR="0086600F" w:rsidRDefault="0058710B">
      <w:pPr>
        <w:spacing w:after="200" w:line="240" w:lineRule="auto"/>
        <w:jc w:val="both"/>
      </w:pPr>
      <w:r>
        <w:rPr>
          <w:b/>
          <w:color w:val="000000"/>
        </w:rPr>
        <w:t>Формат надання послуг</w:t>
      </w:r>
      <w:r>
        <w:rPr>
          <w:color w:val="000000"/>
        </w:rPr>
        <w:t>: офлайн</w:t>
      </w:r>
      <w:r>
        <w:t xml:space="preserve"> </w:t>
      </w:r>
    </w:p>
    <w:p w:rsidR="0086600F" w:rsidRDefault="0058710B">
      <w:pPr>
        <w:spacing w:after="200" w:line="240" w:lineRule="auto"/>
        <w:jc w:val="both"/>
      </w:pPr>
      <w:r>
        <w:rPr>
          <w:b/>
          <w:color w:val="000000"/>
        </w:rPr>
        <w:t xml:space="preserve">Період надання послуг:  </w:t>
      </w:r>
      <w:r>
        <w:rPr>
          <w:color w:val="000000"/>
        </w:rPr>
        <w:t xml:space="preserve">листопад </w:t>
      </w:r>
      <w:r>
        <w:t xml:space="preserve">2024-березень 2025 </w:t>
      </w:r>
    </w:p>
    <w:p w:rsidR="0086600F" w:rsidRDefault="0058710B">
      <w:pPr>
        <w:spacing w:after="200" w:line="240" w:lineRule="auto"/>
        <w:jc w:val="both"/>
      </w:pPr>
      <w:r>
        <w:rPr>
          <w:b/>
        </w:rPr>
        <w:t xml:space="preserve">Місце проведення: </w:t>
      </w:r>
      <w:r>
        <w:t>м. Київ</w:t>
      </w:r>
    </w:p>
    <w:p w:rsidR="0086600F" w:rsidRDefault="0058710B">
      <w:pPr>
        <w:spacing w:after="200" w:line="240" w:lineRule="auto"/>
        <w:jc w:val="both"/>
      </w:pPr>
      <w:r>
        <w:rPr>
          <w:b/>
        </w:rPr>
        <w:t>Кількість надавачів послуг:</w:t>
      </w:r>
      <w:r>
        <w:t xml:space="preserve"> в рамках даного тендеру буде відібрано 1 переможця.</w:t>
      </w:r>
    </w:p>
    <w:p w:rsidR="0086600F" w:rsidRDefault="0058710B">
      <w:pPr>
        <w:widowControl w:val="0"/>
        <w:numPr>
          <w:ilvl w:val="0"/>
          <w:numId w:val="1"/>
        </w:numPr>
        <w:pBdr>
          <w:top w:val="nil"/>
          <w:left w:val="nil"/>
          <w:bottom w:val="nil"/>
          <w:right w:val="nil"/>
          <w:between w:val="nil"/>
        </w:pBdr>
        <w:spacing w:after="200"/>
        <w:jc w:val="both"/>
        <w:rPr>
          <w:b/>
          <w:color w:val="000000"/>
        </w:rPr>
      </w:pPr>
      <w:r>
        <w:rPr>
          <w:b/>
          <w:color w:val="000000"/>
        </w:rPr>
        <w:t>Технічне завдання в рамках надання послуг:</w:t>
      </w:r>
    </w:p>
    <w:tbl>
      <w:tblPr>
        <w:tblStyle w:val="afb"/>
        <w:tblW w:w="10072"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8"/>
        <w:gridCol w:w="3986"/>
        <w:gridCol w:w="1588"/>
      </w:tblGrid>
      <w:tr w:rsidR="0086600F">
        <w:trPr>
          <w:trHeight w:val="782"/>
        </w:trPr>
        <w:tc>
          <w:tcPr>
            <w:tcW w:w="4498" w:type="dxa"/>
          </w:tcPr>
          <w:p w:rsidR="0086600F" w:rsidRDefault="0058710B">
            <w:pPr>
              <w:widowControl w:val="0"/>
              <w:spacing w:after="200"/>
              <w:jc w:val="both"/>
              <w:rPr>
                <w:b/>
              </w:rPr>
            </w:pPr>
            <w:r>
              <w:rPr>
                <w:b/>
              </w:rPr>
              <w:t>Завдання та обов’язки залученого тренера\тренерів</w:t>
            </w:r>
          </w:p>
        </w:tc>
        <w:tc>
          <w:tcPr>
            <w:tcW w:w="3986" w:type="dxa"/>
          </w:tcPr>
          <w:p w:rsidR="0086600F" w:rsidRDefault="0058710B">
            <w:pPr>
              <w:widowControl w:val="0"/>
              <w:spacing w:after="200"/>
              <w:jc w:val="both"/>
              <w:rPr>
                <w:b/>
              </w:rPr>
            </w:pPr>
            <w:r>
              <w:rPr>
                <w:b/>
              </w:rPr>
              <w:t>Результат</w:t>
            </w:r>
          </w:p>
        </w:tc>
        <w:tc>
          <w:tcPr>
            <w:tcW w:w="1588" w:type="dxa"/>
          </w:tcPr>
          <w:p w:rsidR="0086600F" w:rsidRDefault="0058710B">
            <w:pPr>
              <w:widowControl w:val="0"/>
              <w:spacing w:after="200"/>
              <w:jc w:val="both"/>
              <w:rPr>
                <w:b/>
              </w:rPr>
            </w:pPr>
            <w:r>
              <w:rPr>
                <w:b/>
              </w:rPr>
              <w:t>Період надання послуг</w:t>
            </w:r>
          </w:p>
        </w:tc>
      </w:tr>
      <w:tr w:rsidR="0086600F">
        <w:trPr>
          <w:trHeight w:val="1445"/>
        </w:trPr>
        <w:tc>
          <w:tcPr>
            <w:tcW w:w="4498" w:type="dxa"/>
            <w:vAlign w:val="center"/>
          </w:tcPr>
          <w:p w:rsidR="0086600F" w:rsidRDefault="0058710B">
            <w:pPr>
              <w:widowControl w:val="0"/>
              <w:spacing w:after="200"/>
              <w:jc w:val="both"/>
            </w:pPr>
            <w:r>
              <w:rPr>
                <w:highlight w:val="white"/>
              </w:rPr>
              <w:t>Проведення початкового анкетування для визначення потреб учасників навчальної програми.</w:t>
            </w:r>
          </w:p>
        </w:tc>
        <w:tc>
          <w:tcPr>
            <w:tcW w:w="3986" w:type="dxa"/>
          </w:tcPr>
          <w:p w:rsidR="0086600F" w:rsidRDefault="0058710B">
            <w:pPr>
              <w:widowControl w:val="0"/>
              <w:spacing w:after="200"/>
              <w:jc w:val="both"/>
            </w:pPr>
            <w:r>
              <w:t>Підготовлений аналітичний звіт за результатами початкового анкетування, що визначає потреби та очікування від програми.</w:t>
            </w:r>
          </w:p>
        </w:tc>
        <w:tc>
          <w:tcPr>
            <w:tcW w:w="1588" w:type="dxa"/>
            <w:vAlign w:val="center"/>
          </w:tcPr>
          <w:p w:rsidR="0086600F" w:rsidRDefault="003957FF">
            <w:pPr>
              <w:widowControl w:val="0"/>
              <w:spacing w:after="200"/>
              <w:jc w:val="both"/>
            </w:pPr>
            <w:r>
              <w:t>Л</w:t>
            </w:r>
            <w:r w:rsidR="0058710B">
              <w:t>истопад</w:t>
            </w:r>
            <w:r>
              <w:rPr>
                <w:lang w:val="ru-RU"/>
              </w:rPr>
              <w:t>-</w:t>
            </w:r>
            <w:proofErr w:type="spellStart"/>
            <w:r>
              <w:rPr>
                <w:lang w:val="ru-RU"/>
              </w:rPr>
              <w:t>грудень</w:t>
            </w:r>
            <w:proofErr w:type="spellEnd"/>
            <w:r w:rsidR="0058710B">
              <w:t xml:space="preserve"> 2024</w:t>
            </w:r>
          </w:p>
        </w:tc>
      </w:tr>
      <w:tr w:rsidR="0086600F">
        <w:trPr>
          <w:trHeight w:val="1933"/>
        </w:trPr>
        <w:tc>
          <w:tcPr>
            <w:tcW w:w="4498" w:type="dxa"/>
            <w:vAlign w:val="center"/>
          </w:tcPr>
          <w:p w:rsidR="0086600F" w:rsidRDefault="0058710B">
            <w:pPr>
              <w:widowControl w:val="0"/>
              <w:spacing w:after="200"/>
              <w:jc w:val="both"/>
            </w:pPr>
            <w:r>
              <w:rPr>
                <w:highlight w:val="white"/>
              </w:rPr>
              <w:t xml:space="preserve">Розробка кожного з п'яти модулів тренінгу згідно з програмою, включаючи підготовку навчальних матеріалів. </w:t>
            </w:r>
          </w:p>
        </w:tc>
        <w:tc>
          <w:tcPr>
            <w:tcW w:w="3986" w:type="dxa"/>
          </w:tcPr>
          <w:p w:rsidR="0086600F" w:rsidRDefault="0058710B">
            <w:pPr>
              <w:widowControl w:val="0"/>
              <w:spacing w:after="200"/>
              <w:jc w:val="both"/>
            </w:pPr>
            <w:r>
              <w:t>Розроблені та погоджені з Фондом п'ять модулів тренінгу з методичними матеріалами, презентаціями та практичними завданнями.</w:t>
            </w:r>
          </w:p>
        </w:tc>
        <w:tc>
          <w:tcPr>
            <w:tcW w:w="1588" w:type="dxa"/>
            <w:vAlign w:val="center"/>
          </w:tcPr>
          <w:p w:rsidR="0086600F" w:rsidRDefault="003957FF">
            <w:pPr>
              <w:widowControl w:val="0"/>
              <w:spacing w:after="200"/>
              <w:jc w:val="both"/>
            </w:pPr>
            <w:r>
              <w:t>Л</w:t>
            </w:r>
            <w:r w:rsidR="0058710B">
              <w:t>истопад</w:t>
            </w:r>
            <w:r>
              <w:rPr>
                <w:lang w:val="ru-RU"/>
              </w:rPr>
              <w:t xml:space="preserve">- </w:t>
            </w:r>
            <w:proofErr w:type="spellStart"/>
            <w:r>
              <w:rPr>
                <w:lang w:val="ru-RU"/>
              </w:rPr>
              <w:t>грудень</w:t>
            </w:r>
            <w:proofErr w:type="spellEnd"/>
            <w:r w:rsidR="0058710B">
              <w:t xml:space="preserve"> 2024</w:t>
            </w:r>
          </w:p>
        </w:tc>
      </w:tr>
      <w:tr w:rsidR="0086600F">
        <w:trPr>
          <w:trHeight w:val="1066"/>
        </w:trPr>
        <w:tc>
          <w:tcPr>
            <w:tcW w:w="4498" w:type="dxa"/>
            <w:vAlign w:val="center"/>
          </w:tcPr>
          <w:p w:rsidR="0086600F" w:rsidRDefault="0058710B">
            <w:pPr>
              <w:widowControl w:val="0"/>
              <w:spacing w:after="200"/>
              <w:jc w:val="both"/>
            </w:pPr>
            <w:r>
              <w:rPr>
                <w:highlight w:val="white"/>
              </w:rPr>
              <w:t>Розробка творчої частини модулів згідно з програмою</w:t>
            </w:r>
          </w:p>
        </w:tc>
        <w:tc>
          <w:tcPr>
            <w:tcW w:w="3986" w:type="dxa"/>
          </w:tcPr>
          <w:p w:rsidR="0086600F" w:rsidRDefault="0058710B">
            <w:pPr>
              <w:widowControl w:val="0"/>
              <w:spacing w:after="200"/>
              <w:jc w:val="both"/>
            </w:pPr>
            <w:r>
              <w:t xml:space="preserve">Розроблена творча частина для кожного модуля, що включає інтерактивні методи навчання, творчі завдання та практичні вправи, з урахуванням організації та </w:t>
            </w:r>
            <w:r>
              <w:lastRenderedPageBreak/>
              <w:t>забезпечення матеріалами для проведення занять</w:t>
            </w:r>
          </w:p>
        </w:tc>
        <w:tc>
          <w:tcPr>
            <w:tcW w:w="1588" w:type="dxa"/>
            <w:vAlign w:val="center"/>
          </w:tcPr>
          <w:p w:rsidR="0086600F" w:rsidRDefault="003957FF">
            <w:pPr>
              <w:widowControl w:val="0"/>
              <w:spacing w:after="200"/>
              <w:jc w:val="both"/>
            </w:pPr>
            <w:r>
              <w:lastRenderedPageBreak/>
              <w:t>Л</w:t>
            </w:r>
            <w:r w:rsidR="0058710B">
              <w:t>истопад</w:t>
            </w:r>
            <w:r>
              <w:rPr>
                <w:lang w:val="ru-RU"/>
              </w:rPr>
              <w:t xml:space="preserve">- </w:t>
            </w:r>
            <w:proofErr w:type="spellStart"/>
            <w:r>
              <w:rPr>
                <w:lang w:val="ru-RU"/>
              </w:rPr>
              <w:t>грудень</w:t>
            </w:r>
            <w:proofErr w:type="spellEnd"/>
            <w:r w:rsidR="0058710B">
              <w:t xml:space="preserve"> 2024</w:t>
            </w:r>
          </w:p>
        </w:tc>
      </w:tr>
      <w:tr w:rsidR="0086600F">
        <w:trPr>
          <w:trHeight w:val="1355"/>
        </w:trPr>
        <w:tc>
          <w:tcPr>
            <w:tcW w:w="4498" w:type="dxa"/>
            <w:vAlign w:val="center"/>
          </w:tcPr>
          <w:p w:rsidR="0086600F" w:rsidRDefault="0058710B">
            <w:pPr>
              <w:widowControl w:val="0"/>
              <w:spacing w:after="200"/>
              <w:jc w:val="both"/>
            </w:pPr>
            <w:r>
              <w:rPr>
                <w:highlight w:val="white"/>
              </w:rPr>
              <w:t xml:space="preserve">Створення </w:t>
            </w:r>
            <w:proofErr w:type="spellStart"/>
            <w:r>
              <w:rPr>
                <w:highlight w:val="white"/>
              </w:rPr>
              <w:t>воркбуків</w:t>
            </w:r>
            <w:proofErr w:type="spellEnd"/>
            <w:r>
              <w:rPr>
                <w:highlight w:val="white"/>
              </w:rPr>
              <w:t xml:space="preserve"> для учасників програми з навчальними матеріалами, їх передача Фонду у форматі PDF з готовою версткою для друку. </w:t>
            </w:r>
          </w:p>
        </w:tc>
        <w:tc>
          <w:tcPr>
            <w:tcW w:w="3986" w:type="dxa"/>
          </w:tcPr>
          <w:p w:rsidR="0086600F" w:rsidRDefault="0058710B">
            <w:pPr>
              <w:widowControl w:val="0"/>
              <w:spacing w:after="200"/>
              <w:jc w:val="both"/>
            </w:pPr>
            <w:r>
              <w:t xml:space="preserve">Підготовлені та передані Фонду </w:t>
            </w:r>
            <w:proofErr w:type="spellStart"/>
            <w:r>
              <w:t>воркбуки</w:t>
            </w:r>
            <w:proofErr w:type="spellEnd"/>
            <w:r>
              <w:t xml:space="preserve"> у форматі PDF, та друковані </w:t>
            </w:r>
            <w:proofErr w:type="spellStart"/>
            <w:r>
              <w:t>воркбуки</w:t>
            </w:r>
            <w:proofErr w:type="spellEnd"/>
            <w:r>
              <w:t xml:space="preserve"> для кожного учасника навчального тренінгу, із затвердженим  Фондом дизайном. </w:t>
            </w:r>
          </w:p>
        </w:tc>
        <w:tc>
          <w:tcPr>
            <w:tcW w:w="1588" w:type="dxa"/>
            <w:vAlign w:val="center"/>
          </w:tcPr>
          <w:p w:rsidR="0086600F" w:rsidRDefault="003957FF">
            <w:pPr>
              <w:widowControl w:val="0"/>
              <w:spacing w:after="200"/>
              <w:jc w:val="both"/>
            </w:pPr>
            <w:r>
              <w:t>Л</w:t>
            </w:r>
            <w:r w:rsidR="0058710B">
              <w:t>истопад</w:t>
            </w:r>
            <w:r>
              <w:rPr>
                <w:lang w:val="ru-RU"/>
              </w:rPr>
              <w:t xml:space="preserve">- </w:t>
            </w:r>
            <w:proofErr w:type="spellStart"/>
            <w:r>
              <w:rPr>
                <w:lang w:val="ru-RU"/>
              </w:rPr>
              <w:t>грудень</w:t>
            </w:r>
            <w:proofErr w:type="spellEnd"/>
            <w:r w:rsidR="0058710B">
              <w:t xml:space="preserve"> 2024</w:t>
            </w:r>
          </w:p>
        </w:tc>
      </w:tr>
      <w:tr w:rsidR="0086600F">
        <w:trPr>
          <w:trHeight w:val="1355"/>
        </w:trPr>
        <w:tc>
          <w:tcPr>
            <w:tcW w:w="4498" w:type="dxa"/>
            <w:vAlign w:val="center"/>
          </w:tcPr>
          <w:p w:rsidR="0086600F" w:rsidRDefault="0058710B">
            <w:pPr>
              <w:widowControl w:val="0"/>
              <w:spacing w:after="200"/>
              <w:jc w:val="both"/>
              <w:rPr>
                <w:highlight w:val="white"/>
              </w:rPr>
            </w:pPr>
            <w:r>
              <w:rPr>
                <w:highlight w:val="white"/>
              </w:rPr>
              <w:t xml:space="preserve">Проведення п'яти офлайн тренінгів, кожен з яких триватиме три дні по вісім годин, відповідно до програми. </w:t>
            </w:r>
          </w:p>
        </w:tc>
        <w:tc>
          <w:tcPr>
            <w:tcW w:w="3986" w:type="dxa"/>
          </w:tcPr>
          <w:p w:rsidR="0086600F" w:rsidRDefault="0058710B">
            <w:pPr>
              <w:widowControl w:val="0"/>
              <w:spacing w:after="200"/>
              <w:jc w:val="both"/>
            </w:pPr>
            <w:r>
              <w:t>Успішно проведені п’ять модулів тренінгу тривалістю по три дні, з відповідною документацією.</w:t>
            </w:r>
          </w:p>
        </w:tc>
        <w:tc>
          <w:tcPr>
            <w:tcW w:w="1588" w:type="dxa"/>
            <w:vAlign w:val="center"/>
          </w:tcPr>
          <w:p w:rsidR="0086600F" w:rsidRDefault="0058710B">
            <w:pPr>
              <w:spacing w:after="200" w:line="240" w:lineRule="auto"/>
              <w:jc w:val="both"/>
            </w:pPr>
            <w:r>
              <w:t xml:space="preserve">листопад 2024-березень 2025 </w:t>
            </w:r>
          </w:p>
          <w:p w:rsidR="0086600F" w:rsidRDefault="0086600F">
            <w:pPr>
              <w:widowControl w:val="0"/>
              <w:spacing w:after="200"/>
              <w:jc w:val="both"/>
            </w:pPr>
          </w:p>
        </w:tc>
      </w:tr>
      <w:tr w:rsidR="0086600F">
        <w:trPr>
          <w:trHeight w:val="1355"/>
        </w:trPr>
        <w:tc>
          <w:tcPr>
            <w:tcW w:w="4498" w:type="dxa"/>
            <w:vAlign w:val="center"/>
          </w:tcPr>
          <w:p w:rsidR="0086600F" w:rsidRDefault="0058710B">
            <w:pPr>
              <w:widowControl w:val="0"/>
              <w:spacing w:after="200"/>
              <w:jc w:val="both"/>
              <w:rPr>
                <w:highlight w:val="white"/>
              </w:rPr>
            </w:pPr>
            <w:r>
              <w:rPr>
                <w:highlight w:val="white"/>
              </w:rPr>
              <w:t>Надання щомісячних звітів про проходження модулів та зворотного зв’язку від учасників</w:t>
            </w:r>
          </w:p>
        </w:tc>
        <w:tc>
          <w:tcPr>
            <w:tcW w:w="3986" w:type="dxa"/>
          </w:tcPr>
          <w:p w:rsidR="0086600F" w:rsidRDefault="0058710B">
            <w:pPr>
              <w:widowControl w:val="0"/>
              <w:spacing w:after="200"/>
              <w:jc w:val="both"/>
            </w:pPr>
            <w:r>
              <w:t xml:space="preserve">Надання щомісячного </w:t>
            </w:r>
            <w:proofErr w:type="spellStart"/>
            <w:r>
              <w:t>наративного</w:t>
            </w:r>
            <w:proofErr w:type="spellEnd"/>
            <w:r>
              <w:t xml:space="preserve"> звіту про проходження модулю, списку учасників та зворотного зв’язку від них та фотоматеріалів із заходу.</w:t>
            </w:r>
          </w:p>
        </w:tc>
        <w:tc>
          <w:tcPr>
            <w:tcW w:w="1588" w:type="dxa"/>
            <w:vAlign w:val="center"/>
          </w:tcPr>
          <w:p w:rsidR="0086600F" w:rsidRDefault="0058710B">
            <w:pPr>
              <w:spacing w:after="200" w:line="240" w:lineRule="auto"/>
              <w:jc w:val="both"/>
            </w:pPr>
            <w:r>
              <w:t xml:space="preserve">листопад 2024-березень 2025 </w:t>
            </w:r>
          </w:p>
        </w:tc>
      </w:tr>
      <w:tr w:rsidR="0086600F">
        <w:trPr>
          <w:trHeight w:val="1355"/>
        </w:trPr>
        <w:tc>
          <w:tcPr>
            <w:tcW w:w="4498" w:type="dxa"/>
            <w:vAlign w:val="center"/>
          </w:tcPr>
          <w:p w:rsidR="0086600F" w:rsidRDefault="0058710B">
            <w:pPr>
              <w:widowControl w:val="0"/>
              <w:spacing w:after="200"/>
              <w:jc w:val="both"/>
              <w:rPr>
                <w:highlight w:val="white"/>
              </w:rPr>
            </w:pPr>
            <w:r>
              <w:rPr>
                <w:highlight w:val="white"/>
              </w:rPr>
              <w:t>Проведення фінального анкетування для визначення рівня задоволеності учасників.</w:t>
            </w:r>
          </w:p>
          <w:p w:rsidR="0086600F" w:rsidRDefault="0086600F">
            <w:pPr>
              <w:widowControl w:val="0"/>
              <w:spacing w:after="200"/>
              <w:jc w:val="both"/>
            </w:pPr>
          </w:p>
        </w:tc>
        <w:tc>
          <w:tcPr>
            <w:tcW w:w="3986" w:type="dxa"/>
          </w:tcPr>
          <w:p w:rsidR="0086600F" w:rsidRDefault="0058710B">
            <w:pPr>
              <w:widowControl w:val="0"/>
              <w:spacing w:after="200"/>
              <w:jc w:val="both"/>
            </w:pPr>
            <w:r>
              <w:t xml:space="preserve">Підготовлений аналітичний звіт з результатами фінального анкетування, що включає аналітикою щодо відвідуваності учасників, а також рівню задоволеності та рекомендації для Фонду в цілому. </w:t>
            </w:r>
          </w:p>
        </w:tc>
        <w:tc>
          <w:tcPr>
            <w:tcW w:w="1588" w:type="dxa"/>
            <w:vAlign w:val="center"/>
          </w:tcPr>
          <w:p w:rsidR="0086600F" w:rsidRDefault="0058710B">
            <w:pPr>
              <w:widowControl w:val="0"/>
              <w:spacing w:after="200"/>
              <w:jc w:val="both"/>
            </w:pPr>
            <w:r>
              <w:t>березень 2025</w:t>
            </w:r>
          </w:p>
        </w:tc>
      </w:tr>
      <w:tr w:rsidR="0086600F">
        <w:trPr>
          <w:trHeight w:val="1644"/>
        </w:trPr>
        <w:tc>
          <w:tcPr>
            <w:tcW w:w="4498" w:type="dxa"/>
            <w:vAlign w:val="center"/>
          </w:tcPr>
          <w:p w:rsidR="0086600F" w:rsidRDefault="0058710B">
            <w:pPr>
              <w:widowControl w:val="0"/>
              <w:spacing w:after="200"/>
              <w:jc w:val="both"/>
            </w:pPr>
            <w:r>
              <w:t>Підготовка фінального звіту за результатами проведеної навчальної програми, аналіз уроків, які виникли в рамках проведеного навчання.</w:t>
            </w:r>
          </w:p>
        </w:tc>
        <w:tc>
          <w:tcPr>
            <w:tcW w:w="3986" w:type="dxa"/>
          </w:tcPr>
          <w:p w:rsidR="0086600F" w:rsidRDefault="0058710B">
            <w:pPr>
              <w:widowControl w:val="0"/>
              <w:spacing w:after="200"/>
              <w:jc w:val="both"/>
            </w:pPr>
            <w:r>
              <w:t>Підготовлений фінальний звіт за результатами проведеної навчальної програми, аналіз уроків, які виникли в рамках проведення навчання.</w:t>
            </w:r>
          </w:p>
        </w:tc>
        <w:tc>
          <w:tcPr>
            <w:tcW w:w="1588" w:type="dxa"/>
            <w:vAlign w:val="center"/>
          </w:tcPr>
          <w:p w:rsidR="0086600F" w:rsidRDefault="0058710B">
            <w:pPr>
              <w:widowControl w:val="0"/>
              <w:spacing w:after="200"/>
              <w:jc w:val="both"/>
              <w:rPr>
                <w:color w:val="38761D"/>
              </w:rPr>
            </w:pPr>
            <w:r>
              <w:t>березень 2025</w:t>
            </w:r>
          </w:p>
        </w:tc>
      </w:tr>
      <w:tr w:rsidR="0086600F">
        <w:trPr>
          <w:trHeight w:val="488"/>
        </w:trPr>
        <w:tc>
          <w:tcPr>
            <w:tcW w:w="4498" w:type="dxa"/>
            <w:vAlign w:val="center"/>
          </w:tcPr>
          <w:p w:rsidR="0086600F" w:rsidRDefault="0058710B">
            <w:pPr>
              <w:widowControl w:val="0"/>
              <w:spacing w:after="200"/>
              <w:jc w:val="both"/>
              <w:rPr>
                <w:b/>
                <w:highlight w:val="white"/>
              </w:rPr>
            </w:pPr>
            <w:r>
              <w:rPr>
                <w:b/>
                <w:highlight w:val="white"/>
              </w:rPr>
              <w:t>Загальна кількість годин,  190</w:t>
            </w:r>
            <w:bookmarkStart w:id="0" w:name="_GoBack"/>
            <w:bookmarkEnd w:id="0"/>
            <w:r>
              <w:rPr>
                <w:b/>
                <w:highlight w:val="white"/>
              </w:rPr>
              <w:t xml:space="preserve"> годин</w:t>
            </w:r>
          </w:p>
        </w:tc>
        <w:tc>
          <w:tcPr>
            <w:tcW w:w="3986" w:type="dxa"/>
          </w:tcPr>
          <w:p w:rsidR="0086600F" w:rsidRDefault="0086600F">
            <w:pPr>
              <w:widowControl w:val="0"/>
              <w:spacing w:after="200"/>
              <w:jc w:val="both"/>
              <w:rPr>
                <w:b/>
              </w:rPr>
            </w:pPr>
          </w:p>
        </w:tc>
        <w:tc>
          <w:tcPr>
            <w:tcW w:w="1588" w:type="dxa"/>
            <w:vAlign w:val="center"/>
          </w:tcPr>
          <w:p w:rsidR="0086600F" w:rsidRDefault="0086600F">
            <w:pPr>
              <w:widowControl w:val="0"/>
              <w:spacing w:after="200"/>
              <w:jc w:val="both"/>
              <w:rPr>
                <w:b/>
              </w:rPr>
            </w:pPr>
          </w:p>
        </w:tc>
      </w:tr>
    </w:tbl>
    <w:p w:rsidR="006309AC" w:rsidRDefault="006309AC">
      <w:pPr>
        <w:widowControl w:val="0"/>
        <w:spacing w:after="200"/>
        <w:jc w:val="both"/>
        <w:rPr>
          <w:b/>
        </w:rPr>
      </w:pPr>
    </w:p>
    <w:p w:rsidR="0086600F" w:rsidRDefault="0058710B">
      <w:pPr>
        <w:widowControl w:val="0"/>
        <w:spacing w:after="200"/>
        <w:jc w:val="both"/>
        <w:rPr>
          <w:b/>
        </w:rPr>
      </w:pPr>
      <w:r>
        <w:rPr>
          <w:b/>
        </w:rPr>
        <w:t xml:space="preserve">2. Звітність </w:t>
      </w:r>
    </w:p>
    <w:p w:rsidR="0086600F" w:rsidRDefault="0058710B">
      <w:pPr>
        <w:spacing w:after="200" w:line="240" w:lineRule="auto"/>
        <w:jc w:val="both"/>
      </w:pPr>
      <w:r>
        <w:t>Виконавець</w:t>
      </w:r>
      <w:r>
        <w:rPr>
          <w:color w:val="FF0000"/>
        </w:rPr>
        <w:t xml:space="preserve"> </w:t>
      </w:r>
      <w:r>
        <w:t xml:space="preserve">подає звіти по кожному модулю про хід виконання програми, зокрема опис проведених заходів, досягнення результатів, аналіз зворотного зв'язку від учасників, описовий звіт за кожним із передбачених модулів, презентації до кожного модулю, рекомендаційні матеріали, акти виконаних робіт, </w:t>
      </w:r>
      <w:proofErr w:type="spellStart"/>
      <w:r>
        <w:t>фотозвіти</w:t>
      </w:r>
      <w:proofErr w:type="spellEnd"/>
      <w:r>
        <w:t xml:space="preserve"> та реєстраційні списки. Всі матеріали розроблені в рамках реалізації проекту зберігаються на корпоративному диску Фонду.</w:t>
      </w:r>
    </w:p>
    <w:p w:rsidR="0086600F" w:rsidRDefault="0058710B">
      <w:pPr>
        <w:spacing w:after="200" w:line="240" w:lineRule="auto"/>
        <w:jc w:val="both"/>
      </w:pPr>
      <w:r>
        <w:t xml:space="preserve">Звіти та всі супровідні матеріали, виготовлені Виконавцем в рамках </w:t>
      </w:r>
      <w:proofErr w:type="spellStart"/>
      <w:r>
        <w:t>проєкту</w:t>
      </w:r>
      <w:proofErr w:type="spellEnd"/>
      <w:r>
        <w:t>, передані Фонду без обтяження щодо авторських прав.</w:t>
      </w:r>
    </w:p>
    <w:p w:rsidR="0086600F" w:rsidRDefault="0058710B">
      <w:pPr>
        <w:spacing w:after="200" w:line="240" w:lineRule="auto"/>
        <w:jc w:val="both"/>
      </w:pPr>
      <w:r>
        <w:t xml:space="preserve">Звіт подається щомісячно по закінченню модуля. </w:t>
      </w:r>
    </w:p>
    <w:p w:rsidR="0086600F" w:rsidRDefault="0058710B">
      <w:pPr>
        <w:spacing w:after="200" w:line="240" w:lineRule="auto"/>
        <w:jc w:val="both"/>
      </w:pPr>
      <w:r>
        <w:t xml:space="preserve">Підсумковий звіт за результатами проведеної навчальної програми, що має включати: опис виконаних завдань та проведених </w:t>
      </w:r>
      <w:proofErr w:type="spellStart"/>
      <w:r>
        <w:t>активностей</w:t>
      </w:r>
      <w:proofErr w:type="spellEnd"/>
      <w:r>
        <w:t xml:space="preserve">; аналіз того, чи досягнута мета тренінгу; аналіз зворотного зв'язку; аналіз результатів та досягнення цілей; </w:t>
      </w:r>
      <w:proofErr w:type="spellStart"/>
      <w:r>
        <w:t>уроки</w:t>
      </w:r>
      <w:proofErr w:type="spellEnd"/>
      <w:r>
        <w:t xml:space="preserve">, отримані під час проведення програми; рекомендації подальшого розвитку для Фонду в цілому; порівняльний аналіз початкових очікувань та кінцевих результатів. </w:t>
      </w:r>
      <w:r>
        <w:br/>
      </w:r>
    </w:p>
    <w:p w:rsidR="0086600F" w:rsidRDefault="0058710B">
      <w:pPr>
        <w:keepNext/>
        <w:keepLines/>
        <w:pBdr>
          <w:top w:val="nil"/>
          <w:left w:val="nil"/>
          <w:bottom w:val="nil"/>
          <w:right w:val="nil"/>
          <w:between w:val="nil"/>
        </w:pBdr>
        <w:spacing w:after="200"/>
        <w:jc w:val="both"/>
        <w:rPr>
          <w:b/>
          <w:color w:val="000000"/>
        </w:rPr>
      </w:pPr>
      <w:r>
        <w:rPr>
          <w:b/>
          <w:color w:val="000000"/>
        </w:rPr>
        <w:lastRenderedPageBreak/>
        <w:t>3. Умови співпраці</w:t>
      </w:r>
    </w:p>
    <w:p w:rsidR="0086600F" w:rsidRDefault="0058710B" w:rsidP="009F6BB2">
      <w:pPr>
        <w:spacing w:after="0"/>
        <w:ind w:firstLine="708"/>
        <w:jc w:val="both"/>
      </w:pPr>
      <w: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86600F" w:rsidRDefault="0058710B" w:rsidP="009F6BB2">
      <w:pPr>
        <w:pBdr>
          <w:top w:val="nil"/>
          <w:left w:val="nil"/>
          <w:bottom w:val="nil"/>
          <w:right w:val="nil"/>
          <w:between w:val="nil"/>
        </w:pBdr>
        <w:spacing w:after="0" w:line="240" w:lineRule="auto"/>
        <w:ind w:firstLine="568"/>
        <w:jc w:val="both"/>
      </w:pPr>
      <w:r>
        <w:rPr>
          <w:color w:val="000000"/>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t xml:space="preserve"> протягом 7 робочих днів з дати підписання Акту виконаних робіт.  Акт виконаних робіт має бути поданий кожного місяця, протягом 7 днів після проведення кожного навчального модулю. </w:t>
      </w:r>
    </w:p>
    <w:p w:rsidR="0086600F" w:rsidRDefault="0058710B" w:rsidP="009F6BB2">
      <w:pPr>
        <w:pBdr>
          <w:top w:val="nil"/>
          <w:left w:val="nil"/>
          <w:bottom w:val="nil"/>
          <w:right w:val="nil"/>
          <w:between w:val="nil"/>
        </w:pBdr>
        <w:spacing w:after="0" w:line="240" w:lineRule="auto"/>
        <w:ind w:firstLine="568"/>
        <w:jc w:val="both"/>
        <w:rPr>
          <w:color w:val="000000"/>
          <w:highlight w:val="white"/>
        </w:rPr>
      </w:pPr>
      <w:r>
        <w:rPr>
          <w:color w:val="000000"/>
          <w:highlight w:val="white"/>
        </w:rPr>
        <w:t>Фонд має право анулювати тендер в будь-який час до заключення договору з постачальником і не несе за це відповідність.</w:t>
      </w:r>
    </w:p>
    <w:p w:rsidR="0086600F" w:rsidRDefault="0058710B" w:rsidP="009F6BB2">
      <w:pPr>
        <w:spacing w:after="0" w:line="240" w:lineRule="auto"/>
        <w:ind w:firstLine="708"/>
        <w:jc w:val="both"/>
        <w:rPr>
          <w:rFonts w:ascii="Times New Roman" w:eastAsia="Times New Roman" w:hAnsi="Times New Roman" w:cs="Times New Roman"/>
          <w:sz w:val="24"/>
          <w:szCs w:val="24"/>
        </w:rPr>
      </w:pPr>
      <w:r>
        <w:rPr>
          <w:color w:val="000000"/>
          <w:highlight w:val="white"/>
        </w:rPr>
        <w:t>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86600F" w:rsidRDefault="0058710B" w:rsidP="009F6BB2">
      <w:pPr>
        <w:shd w:val="clear" w:color="auto" w:fill="FFFFFF"/>
        <w:spacing w:after="0" w:line="240" w:lineRule="auto"/>
        <w:ind w:firstLine="720"/>
        <w:jc w:val="both"/>
      </w:pPr>
      <w:r>
        <w:rPr>
          <w:color w:val="222222"/>
        </w:rPr>
        <w:t>Витрати на переміщення/ проживання та  д</w:t>
      </w:r>
      <w:r>
        <w:t xml:space="preserve">обові тренерському складу - не оплачуються.  </w:t>
      </w:r>
    </w:p>
    <w:p w:rsidR="0086600F" w:rsidRDefault="0058710B" w:rsidP="009F6BB2">
      <w:pPr>
        <w:spacing w:after="0" w:line="240" w:lineRule="auto"/>
        <w:ind w:firstLine="720"/>
        <w:jc w:val="both"/>
      </w:pPr>
      <w:r>
        <w:rPr>
          <w:color w:val="000000"/>
        </w:rPr>
        <w:t xml:space="preserve">Учасник немає бути в </w:t>
      </w:r>
      <w:proofErr w:type="spellStart"/>
      <w:r>
        <w:rPr>
          <w:color w:val="000000"/>
        </w:rPr>
        <w:t>санкційних</w:t>
      </w:r>
      <w:proofErr w:type="spellEnd"/>
      <w:r>
        <w:rPr>
          <w:color w:val="000000"/>
        </w:rPr>
        <w:t xml:space="preserve"> списках України, ЄС, США, Канади, Японії, Великобританії.</w:t>
      </w:r>
    </w:p>
    <w:p w:rsidR="0086600F" w:rsidRDefault="0058710B" w:rsidP="009F6BB2">
      <w:pPr>
        <w:spacing w:after="0" w:line="240" w:lineRule="auto"/>
        <w:ind w:firstLine="720"/>
        <w:jc w:val="both"/>
        <w:rPr>
          <w:color w:val="000000"/>
        </w:rPr>
      </w:pPr>
      <w:r>
        <w:rPr>
          <w:color w:val="000000"/>
        </w:rPr>
        <w:t>Учасник немає перебувати в процесі припинення діяльності ФОП.</w:t>
      </w:r>
    </w:p>
    <w:p w:rsidR="00FA4D51" w:rsidRDefault="0058710B" w:rsidP="009F6BB2">
      <w:pPr>
        <w:spacing w:after="0"/>
        <w:ind w:firstLine="708"/>
        <w:jc w:val="both"/>
      </w:pPr>
      <w: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5F38F5" w:rsidRDefault="005F38F5" w:rsidP="005F38F5">
      <w:pPr>
        <w:spacing w:after="200"/>
        <w:ind w:firstLine="708"/>
        <w:jc w:val="both"/>
      </w:pPr>
    </w:p>
    <w:p w:rsidR="0086600F" w:rsidRDefault="0058710B">
      <w:pPr>
        <w:numPr>
          <w:ilvl w:val="0"/>
          <w:numId w:val="1"/>
        </w:numPr>
        <w:spacing w:after="200" w:line="276" w:lineRule="auto"/>
        <w:jc w:val="both"/>
        <w:rPr>
          <w:b/>
        </w:rPr>
      </w:pPr>
      <w:bookmarkStart w:id="1" w:name="_heading=h.30j0zll" w:colFirst="0" w:colLast="0"/>
      <w:bookmarkEnd w:id="1"/>
      <w:r>
        <w:rPr>
          <w:b/>
        </w:rPr>
        <w:t>Вимоги до подання пропозицій</w:t>
      </w:r>
    </w:p>
    <w:p w:rsidR="0086600F" w:rsidRDefault="0058710B" w:rsidP="009F6BB2">
      <w:pPr>
        <w:spacing w:after="0"/>
        <w:jc w:val="both"/>
        <w:rPr>
          <w:highlight w:val="white"/>
        </w:rPr>
      </w:pPr>
      <w:r>
        <w:t xml:space="preserve">Пропозиція повинна бути складена </w:t>
      </w:r>
      <w:r>
        <w:rPr>
          <w:b/>
          <w:highlight w:val="white"/>
          <w:u w:val="single"/>
        </w:rPr>
        <w:t>українською мовою</w:t>
      </w:r>
      <w:r>
        <w:rPr>
          <w:highlight w:val="white"/>
        </w:rPr>
        <w:t xml:space="preserve">. </w:t>
      </w:r>
    </w:p>
    <w:p w:rsidR="0086600F" w:rsidRDefault="0058710B" w:rsidP="009F6BB2">
      <w:pPr>
        <w:widowControl w:val="0"/>
        <w:spacing w:after="0"/>
        <w:jc w:val="both"/>
      </w:pPr>
      <w:bookmarkStart w:id="2" w:name="_heading=h.gjdgxs" w:colFirst="0" w:colLast="0"/>
      <w:bookmarkEnd w:id="2"/>
      <w:r>
        <w:t>Просимо надати наступний пакет документів, який буде містити::</w:t>
      </w:r>
    </w:p>
    <w:p w:rsidR="0086600F" w:rsidRDefault="0058710B" w:rsidP="009F6BB2">
      <w:pPr>
        <w:widowControl w:val="0"/>
        <w:numPr>
          <w:ilvl w:val="0"/>
          <w:numId w:val="2"/>
        </w:numPr>
        <w:spacing w:after="0"/>
        <w:jc w:val="both"/>
      </w:pPr>
      <w:r>
        <w:t>Контактну інформацію виконавця;</w:t>
      </w:r>
    </w:p>
    <w:p w:rsidR="0086600F" w:rsidRDefault="0058710B" w:rsidP="009F6BB2">
      <w:pPr>
        <w:widowControl w:val="0"/>
        <w:numPr>
          <w:ilvl w:val="0"/>
          <w:numId w:val="2"/>
        </w:numPr>
        <w:spacing w:after="0"/>
        <w:jc w:val="both"/>
      </w:pPr>
      <w:r>
        <w:t xml:space="preserve">CV тренерів з детальним описом релевантного досвіду за останні 5 років; </w:t>
      </w:r>
    </w:p>
    <w:p w:rsidR="0086600F" w:rsidRDefault="0058710B" w:rsidP="009F6BB2">
      <w:pPr>
        <w:widowControl w:val="0"/>
        <w:numPr>
          <w:ilvl w:val="0"/>
          <w:numId w:val="2"/>
        </w:numPr>
        <w:spacing w:after="0"/>
        <w:jc w:val="both"/>
      </w:pPr>
      <w:r>
        <w:t>Зразки розроблених методичних матеріалів (</w:t>
      </w:r>
      <w:proofErr w:type="spellStart"/>
      <w:r>
        <w:t>методологій</w:t>
      </w:r>
      <w:proofErr w:type="spellEnd"/>
      <w:r>
        <w:t xml:space="preserve">, звітів, рекомендацій, програм тренінгів, посібників тощо), для першого модулю навчальної програми. Подавати в форматі </w:t>
      </w:r>
      <w:proofErr w:type="spellStart"/>
      <w:r>
        <w:t>pdf</w:t>
      </w:r>
      <w:proofErr w:type="spellEnd"/>
      <w:r>
        <w:t xml:space="preserve">, </w:t>
      </w:r>
      <w:proofErr w:type="spellStart"/>
      <w:r>
        <w:t>word</w:t>
      </w:r>
      <w:proofErr w:type="spellEnd"/>
      <w:r>
        <w:t xml:space="preserve">, </w:t>
      </w:r>
      <w:proofErr w:type="spellStart"/>
      <w:r>
        <w:t>excel</w:t>
      </w:r>
      <w:proofErr w:type="spellEnd"/>
      <w:r>
        <w:t xml:space="preserve">, </w:t>
      </w:r>
      <w:proofErr w:type="spellStart"/>
      <w:r>
        <w:t>Powerpoint</w:t>
      </w:r>
      <w:proofErr w:type="spellEnd"/>
      <w:r>
        <w:t xml:space="preserve"> чи інших форматах, які доступні для загального перегляду.</w:t>
      </w:r>
    </w:p>
    <w:p w:rsidR="0086600F" w:rsidRDefault="0058710B" w:rsidP="009F6BB2">
      <w:pPr>
        <w:widowControl w:val="0"/>
        <w:numPr>
          <w:ilvl w:val="0"/>
          <w:numId w:val="2"/>
        </w:numPr>
        <w:spacing w:after="0"/>
        <w:jc w:val="both"/>
      </w:pPr>
      <w:r>
        <w:t xml:space="preserve">Рекомендаційні листи з підтверджуючими контактами від громадських організацій, які стосуються релевантного досвіду проведення навчальних програм для ТОП менеджменту. </w:t>
      </w:r>
    </w:p>
    <w:p w:rsidR="004C4A5A" w:rsidRPr="004C4A5A" w:rsidRDefault="004C4A5A" w:rsidP="009F6BB2">
      <w:pPr>
        <w:widowControl w:val="0"/>
        <w:spacing w:after="0"/>
        <w:ind w:left="720"/>
        <w:jc w:val="both"/>
        <w:rPr>
          <w:i/>
        </w:rPr>
      </w:pPr>
      <w:r w:rsidRPr="004C4A5A">
        <w:rPr>
          <w:i/>
        </w:rPr>
        <w:t>*Перевага надається учасникам, які не є Платниками ПДВ</w:t>
      </w:r>
    </w:p>
    <w:p w:rsidR="0086600F" w:rsidRDefault="0058710B">
      <w:pPr>
        <w:keepNext/>
        <w:keepLines/>
        <w:numPr>
          <w:ilvl w:val="0"/>
          <w:numId w:val="1"/>
        </w:numPr>
        <w:pBdr>
          <w:top w:val="nil"/>
          <w:left w:val="nil"/>
          <w:bottom w:val="nil"/>
          <w:right w:val="nil"/>
          <w:between w:val="nil"/>
        </w:pBdr>
        <w:spacing w:before="186" w:after="200"/>
        <w:jc w:val="both"/>
        <w:rPr>
          <w:b/>
          <w:color w:val="000000"/>
        </w:rPr>
      </w:pPr>
      <w:r>
        <w:rPr>
          <w:b/>
          <w:color w:val="000000"/>
        </w:rPr>
        <w:t>Підведення підсумків конкурсу</w:t>
      </w:r>
    </w:p>
    <w:p w:rsidR="0086600F" w:rsidRDefault="0058710B" w:rsidP="006309AC">
      <w:pPr>
        <w:pBdr>
          <w:top w:val="nil"/>
          <w:left w:val="nil"/>
          <w:bottom w:val="nil"/>
          <w:right w:val="nil"/>
          <w:between w:val="nil"/>
        </w:pBdr>
        <w:spacing w:after="200" w:line="240" w:lineRule="auto"/>
        <w:ind w:left="112" w:firstLine="568"/>
        <w:jc w:val="both"/>
      </w:pPr>
      <w:r>
        <w:rPr>
          <w:color w:val="000000"/>
        </w:rPr>
        <w:t>Оцінювання тендерних пропозицій буде складатися на 70% з оцінки технічних пропозицій та на 30% з оцінки цінових пропозицій.</w:t>
      </w:r>
    </w:p>
    <w:tbl>
      <w:tblPr>
        <w:tblStyle w:val="afc"/>
        <w:tblW w:w="99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2835"/>
        <w:gridCol w:w="5528"/>
        <w:gridCol w:w="1276"/>
        <w:gridCol w:w="10"/>
      </w:tblGrid>
      <w:tr w:rsidR="0086600F" w:rsidTr="006309AC">
        <w:trPr>
          <w:trHeight w:val="20"/>
          <w:jc w:val="center"/>
        </w:trPr>
        <w:tc>
          <w:tcPr>
            <w:tcW w:w="9928" w:type="dxa"/>
            <w:gridSpan w:val="5"/>
            <w:shd w:val="clear" w:color="auto" w:fill="DBE5F1"/>
            <w:tcMar>
              <w:top w:w="0" w:type="dxa"/>
              <w:left w:w="45" w:type="dxa"/>
              <w:bottom w:w="0" w:type="dxa"/>
              <w:right w:w="45" w:type="dxa"/>
            </w:tcMar>
            <w:vAlign w:val="center"/>
          </w:tcPr>
          <w:p w:rsidR="0086600F" w:rsidRDefault="0058710B">
            <w:pPr>
              <w:spacing w:after="200"/>
              <w:jc w:val="both"/>
              <w:rPr>
                <w:b/>
              </w:rPr>
            </w:pPr>
            <w:r>
              <w:rPr>
                <w:b/>
              </w:rPr>
              <w:t xml:space="preserve">ШКАЛА ОЦІНКИ ТЕХНІЧНИХ ВИМОГ </w:t>
            </w:r>
          </w:p>
        </w:tc>
      </w:tr>
      <w:tr w:rsidR="0086600F" w:rsidTr="006309AC">
        <w:trPr>
          <w:gridAfter w:val="1"/>
          <w:wAfter w:w="10" w:type="dxa"/>
          <w:trHeight w:val="506"/>
          <w:jc w:val="center"/>
        </w:trPr>
        <w:tc>
          <w:tcPr>
            <w:tcW w:w="279" w:type="dxa"/>
            <w:shd w:val="clear" w:color="auto" w:fill="DBE5F1"/>
            <w:tcMar>
              <w:top w:w="0" w:type="dxa"/>
              <w:left w:w="45" w:type="dxa"/>
              <w:bottom w:w="0" w:type="dxa"/>
              <w:right w:w="45" w:type="dxa"/>
            </w:tcMar>
            <w:vAlign w:val="center"/>
          </w:tcPr>
          <w:p w:rsidR="0086600F" w:rsidRDefault="0086600F">
            <w:pPr>
              <w:spacing w:after="200"/>
              <w:jc w:val="both"/>
            </w:pPr>
          </w:p>
        </w:tc>
        <w:tc>
          <w:tcPr>
            <w:tcW w:w="2835" w:type="dxa"/>
            <w:shd w:val="clear" w:color="auto" w:fill="DBE5F1"/>
            <w:tcMar>
              <w:top w:w="0" w:type="dxa"/>
              <w:left w:w="45" w:type="dxa"/>
              <w:bottom w:w="0" w:type="dxa"/>
              <w:right w:w="45" w:type="dxa"/>
            </w:tcMar>
            <w:vAlign w:val="center"/>
          </w:tcPr>
          <w:p w:rsidR="0086600F" w:rsidRDefault="006309AC">
            <w:pPr>
              <w:spacing w:after="200"/>
              <w:jc w:val="both"/>
            </w:pPr>
            <w:r>
              <w:t>Критерій оцінки</w:t>
            </w:r>
          </w:p>
        </w:tc>
        <w:tc>
          <w:tcPr>
            <w:tcW w:w="5528" w:type="dxa"/>
            <w:shd w:val="clear" w:color="auto" w:fill="DBE5F1"/>
            <w:vAlign w:val="center"/>
          </w:tcPr>
          <w:p w:rsidR="0086600F" w:rsidRDefault="006309AC">
            <w:pPr>
              <w:spacing w:after="200"/>
              <w:jc w:val="both"/>
            </w:pPr>
            <w:r>
              <w:t>Методологія оцінки</w:t>
            </w:r>
          </w:p>
        </w:tc>
        <w:tc>
          <w:tcPr>
            <w:tcW w:w="1276" w:type="dxa"/>
            <w:shd w:val="clear" w:color="auto" w:fill="DBE5F1"/>
            <w:tcMar>
              <w:top w:w="0" w:type="dxa"/>
              <w:left w:w="45" w:type="dxa"/>
              <w:bottom w:w="0" w:type="dxa"/>
              <w:right w:w="45" w:type="dxa"/>
            </w:tcMar>
            <w:vAlign w:val="center"/>
          </w:tcPr>
          <w:p w:rsidR="0086600F" w:rsidRPr="006309AC" w:rsidRDefault="0058710B">
            <w:pPr>
              <w:spacing w:after="200"/>
              <w:jc w:val="both"/>
              <w:rPr>
                <w:sz w:val="18"/>
                <w:szCs w:val="18"/>
              </w:rPr>
            </w:pPr>
            <w:r w:rsidRPr="006309AC">
              <w:rPr>
                <w:sz w:val="18"/>
                <w:szCs w:val="18"/>
              </w:rPr>
              <w:t>Максимальна кількість балів</w:t>
            </w:r>
          </w:p>
        </w:tc>
      </w:tr>
      <w:tr w:rsidR="0086600F" w:rsidTr="006309AC">
        <w:trPr>
          <w:gridAfter w:val="1"/>
          <w:wAfter w:w="10" w:type="dxa"/>
          <w:trHeight w:val="20"/>
          <w:jc w:val="center"/>
        </w:trPr>
        <w:tc>
          <w:tcPr>
            <w:tcW w:w="279" w:type="dxa"/>
            <w:tcMar>
              <w:top w:w="0" w:type="dxa"/>
              <w:left w:w="45" w:type="dxa"/>
              <w:bottom w:w="0" w:type="dxa"/>
              <w:right w:w="45" w:type="dxa"/>
            </w:tcMar>
            <w:vAlign w:val="center"/>
          </w:tcPr>
          <w:p w:rsidR="0086600F" w:rsidRDefault="0058710B">
            <w:pPr>
              <w:spacing w:after="200"/>
              <w:jc w:val="both"/>
            </w:pPr>
            <w:r>
              <w:t>1</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6600F" w:rsidRDefault="0058710B">
            <w:pPr>
              <w:widowControl w:val="0"/>
              <w:spacing w:after="200"/>
              <w:jc w:val="both"/>
              <w:rPr>
                <w:b/>
              </w:rPr>
            </w:pPr>
            <w:r>
              <w:t xml:space="preserve">Учасник має подати зразок розробленого першого модулю тренінгів, з детальною розробленою методологією втілення  відповідно до навчальної програми.  </w:t>
            </w:r>
            <w:r>
              <w:br/>
            </w:r>
            <w:r>
              <w:rPr>
                <w:b/>
              </w:rPr>
              <w:t>Оцінюється членами технічного комітету.</w:t>
            </w:r>
          </w:p>
          <w:p w:rsidR="0086600F" w:rsidRDefault="0086600F">
            <w:pPr>
              <w:widowControl w:val="0"/>
              <w:spacing w:after="200"/>
              <w:jc w:val="both"/>
              <w:rPr>
                <w:b/>
              </w:rPr>
            </w:pPr>
          </w:p>
        </w:tc>
        <w:tc>
          <w:tcPr>
            <w:tcW w:w="5528" w:type="dxa"/>
            <w:vAlign w:val="center"/>
          </w:tcPr>
          <w:p w:rsidR="0086600F" w:rsidRDefault="0058710B">
            <w:pPr>
              <w:spacing w:after="200"/>
              <w:jc w:val="both"/>
            </w:pPr>
            <w:r>
              <w:t xml:space="preserve">30 балів - надані матеріали містять ґрунтовне </w:t>
            </w:r>
            <w:proofErr w:type="spellStart"/>
            <w:r>
              <w:t>пропрацювання</w:t>
            </w:r>
            <w:proofErr w:type="spellEnd"/>
            <w:r>
              <w:t xml:space="preserve">  методології викладу першого тренінгового модулю із детальним описом кожної частини навчального модулю. </w:t>
            </w:r>
            <w:r>
              <w:br/>
            </w:r>
            <w:r>
              <w:br/>
              <w:t xml:space="preserve">20 балів - надані матеріали, містять  методології викладу першого тренінгового модулю без  деталізованого опису. </w:t>
            </w:r>
          </w:p>
          <w:p w:rsidR="0086600F" w:rsidRDefault="0058710B">
            <w:pPr>
              <w:spacing w:after="200"/>
              <w:jc w:val="both"/>
            </w:pPr>
            <w:r>
              <w:t xml:space="preserve">5 балів - надані матеріали дотичні до теми, але не містять деталізації та опису методології. </w:t>
            </w:r>
          </w:p>
          <w:p w:rsidR="0086600F" w:rsidRDefault="0058710B">
            <w:pPr>
              <w:spacing w:after="200"/>
              <w:jc w:val="both"/>
            </w:pPr>
            <w:r>
              <w:lastRenderedPageBreak/>
              <w:t>0 балів - жодних матеріалів не подано.</w:t>
            </w:r>
          </w:p>
        </w:tc>
        <w:tc>
          <w:tcPr>
            <w:tcW w:w="1276" w:type="dxa"/>
            <w:tcMar>
              <w:top w:w="0" w:type="dxa"/>
              <w:left w:w="45" w:type="dxa"/>
              <w:bottom w:w="0" w:type="dxa"/>
              <w:right w:w="45" w:type="dxa"/>
            </w:tcMar>
            <w:vAlign w:val="center"/>
          </w:tcPr>
          <w:p w:rsidR="0086600F" w:rsidRDefault="0058710B">
            <w:pPr>
              <w:spacing w:after="200"/>
              <w:jc w:val="both"/>
              <w:rPr>
                <w:b/>
              </w:rPr>
            </w:pPr>
            <w:r>
              <w:rPr>
                <w:b/>
              </w:rPr>
              <w:lastRenderedPageBreak/>
              <w:t>30</w:t>
            </w:r>
          </w:p>
        </w:tc>
      </w:tr>
      <w:tr w:rsidR="0086600F" w:rsidTr="006309AC">
        <w:trPr>
          <w:gridAfter w:val="1"/>
          <w:wAfter w:w="10" w:type="dxa"/>
          <w:trHeight w:val="20"/>
          <w:jc w:val="center"/>
        </w:trPr>
        <w:tc>
          <w:tcPr>
            <w:tcW w:w="279" w:type="dxa"/>
            <w:tcMar>
              <w:top w:w="0" w:type="dxa"/>
              <w:left w:w="45" w:type="dxa"/>
              <w:bottom w:w="0" w:type="dxa"/>
              <w:right w:w="45" w:type="dxa"/>
            </w:tcMar>
            <w:vAlign w:val="center"/>
          </w:tcPr>
          <w:p w:rsidR="0086600F" w:rsidRDefault="0058710B">
            <w:pPr>
              <w:spacing w:after="200"/>
              <w:jc w:val="both"/>
            </w:pPr>
            <w:r>
              <w:t>2</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6600F" w:rsidRDefault="0058710B">
            <w:pPr>
              <w:widowControl w:val="0"/>
              <w:spacing w:after="200"/>
              <w:jc w:val="both"/>
            </w:pPr>
            <w:r>
              <w:t>Рекомендаційні листи від НГО міжнародних або національного рівня</w:t>
            </w:r>
          </w:p>
          <w:p w:rsidR="0086600F" w:rsidRDefault="0086600F">
            <w:pPr>
              <w:widowControl w:val="0"/>
              <w:spacing w:after="200"/>
              <w:jc w:val="both"/>
            </w:pPr>
          </w:p>
          <w:p w:rsidR="0086600F" w:rsidRDefault="0086600F">
            <w:pPr>
              <w:widowControl w:val="0"/>
              <w:spacing w:after="200"/>
              <w:jc w:val="both"/>
            </w:pPr>
          </w:p>
        </w:tc>
        <w:tc>
          <w:tcPr>
            <w:tcW w:w="5528" w:type="dxa"/>
            <w:vAlign w:val="center"/>
          </w:tcPr>
          <w:p w:rsidR="0086600F" w:rsidRDefault="0058710B">
            <w:pPr>
              <w:widowControl w:val="0"/>
              <w:spacing w:after="200"/>
              <w:jc w:val="both"/>
            </w:pPr>
            <w:r>
              <w:t xml:space="preserve">3 бали за кожен рекомендаційний лист, максимум 15 балів  </w:t>
            </w:r>
          </w:p>
          <w:p w:rsidR="0086600F" w:rsidRDefault="0058710B">
            <w:pPr>
              <w:widowControl w:val="0"/>
              <w:spacing w:after="200"/>
              <w:jc w:val="both"/>
            </w:pPr>
            <w:r>
              <w:t>0 балів – учасник не надав жодного листа від НУО міжнародних або національного рівня</w:t>
            </w:r>
          </w:p>
        </w:tc>
        <w:tc>
          <w:tcPr>
            <w:tcW w:w="1276" w:type="dxa"/>
            <w:tcMar>
              <w:top w:w="0" w:type="dxa"/>
              <w:left w:w="45" w:type="dxa"/>
              <w:bottom w:w="0" w:type="dxa"/>
              <w:right w:w="45" w:type="dxa"/>
            </w:tcMar>
            <w:vAlign w:val="center"/>
          </w:tcPr>
          <w:p w:rsidR="0086600F" w:rsidRDefault="0058710B">
            <w:pPr>
              <w:spacing w:after="200"/>
              <w:jc w:val="both"/>
              <w:rPr>
                <w:b/>
              </w:rPr>
            </w:pPr>
            <w:r>
              <w:rPr>
                <w:b/>
              </w:rPr>
              <w:t>15</w:t>
            </w:r>
          </w:p>
        </w:tc>
      </w:tr>
      <w:tr w:rsidR="0086600F" w:rsidTr="006309AC">
        <w:trPr>
          <w:gridAfter w:val="1"/>
          <w:wAfter w:w="10" w:type="dxa"/>
          <w:trHeight w:val="20"/>
          <w:jc w:val="center"/>
        </w:trPr>
        <w:tc>
          <w:tcPr>
            <w:tcW w:w="279" w:type="dxa"/>
            <w:tcMar>
              <w:top w:w="0" w:type="dxa"/>
              <w:left w:w="45" w:type="dxa"/>
              <w:bottom w:w="0" w:type="dxa"/>
              <w:right w:w="45" w:type="dxa"/>
            </w:tcMar>
            <w:vAlign w:val="center"/>
          </w:tcPr>
          <w:p w:rsidR="0086600F" w:rsidRDefault="0058710B">
            <w:pPr>
              <w:spacing w:after="200"/>
              <w:jc w:val="both"/>
            </w:pPr>
            <w:r>
              <w:t>3</w:t>
            </w:r>
          </w:p>
        </w:tc>
        <w:tc>
          <w:tcPr>
            <w:tcW w:w="283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6600F" w:rsidRDefault="0058710B">
            <w:pPr>
              <w:pBdr>
                <w:top w:val="nil"/>
                <w:left w:val="nil"/>
                <w:bottom w:val="nil"/>
                <w:right w:val="nil"/>
                <w:between w:val="nil"/>
              </w:pBdr>
              <w:spacing w:after="200"/>
              <w:jc w:val="both"/>
            </w:pPr>
            <w:r>
              <w:t>Учасник повинен надати деталізоване резюме Виконавця. Проводиться оцінка змістовності резюме із зазначенням досвіду, проведення комплексних  навчальних програм для ТОП менеджменту в секторі НГО</w:t>
            </w:r>
          </w:p>
        </w:tc>
        <w:tc>
          <w:tcPr>
            <w:tcW w:w="5528" w:type="dxa"/>
          </w:tcPr>
          <w:p w:rsidR="0086600F" w:rsidRDefault="0058710B">
            <w:pPr>
              <w:spacing w:after="200"/>
              <w:jc w:val="both"/>
            </w:pPr>
            <w:r>
              <w:t xml:space="preserve">15 балів: Демонстрація вичерпної інформації у ключових сферах та завданнях </w:t>
            </w:r>
            <w:proofErr w:type="spellStart"/>
            <w:r>
              <w:t>проєкту</w:t>
            </w:r>
            <w:proofErr w:type="spellEnd"/>
            <w:r>
              <w:t>,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r>
            <w:r>
              <w:br/>
            </w:r>
            <w:r>
              <w:br/>
              <w:t xml:space="preserve">10 балів: Демонстрація узагальненої інформації у ключових сферах та завданнях </w:t>
            </w:r>
            <w:proofErr w:type="spellStart"/>
            <w:r>
              <w:t>проєкту</w:t>
            </w:r>
            <w:proofErr w:type="spellEnd"/>
            <w: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r>
            <w:r>
              <w:br/>
            </w:r>
            <w:r>
              <w:br/>
              <w:t xml:space="preserve">5 бали: Надано резюме з відсутністю актуального досвіду за останні 3 роки у сферах та завданнях </w:t>
            </w:r>
            <w:proofErr w:type="spellStart"/>
            <w:r>
              <w:t>проєкту</w:t>
            </w:r>
            <w:proofErr w:type="spellEnd"/>
            <w:r>
              <w:t xml:space="preserve">, але відображено існуючий у виконавця попередній досвід  виконання подібних завдань. </w:t>
            </w:r>
            <w:r>
              <w:br/>
            </w:r>
            <w:r>
              <w:br/>
              <w:t xml:space="preserve">0 балів: Не надано резюме або досвід не є релевантним до сфери та завдань </w:t>
            </w:r>
            <w:proofErr w:type="spellStart"/>
            <w:r>
              <w:t>проєкту</w:t>
            </w:r>
            <w:proofErr w:type="spellEnd"/>
            <w:r>
              <w:t>.</w:t>
            </w:r>
          </w:p>
        </w:tc>
        <w:tc>
          <w:tcPr>
            <w:tcW w:w="1276" w:type="dxa"/>
            <w:tcMar>
              <w:top w:w="0" w:type="dxa"/>
              <w:left w:w="45" w:type="dxa"/>
              <w:bottom w:w="0" w:type="dxa"/>
              <w:right w:w="45" w:type="dxa"/>
            </w:tcMar>
            <w:vAlign w:val="center"/>
          </w:tcPr>
          <w:p w:rsidR="0086600F" w:rsidRDefault="0058710B">
            <w:pPr>
              <w:spacing w:after="200"/>
              <w:jc w:val="both"/>
              <w:rPr>
                <w:b/>
              </w:rPr>
            </w:pPr>
            <w:r>
              <w:rPr>
                <w:b/>
              </w:rPr>
              <w:t>10</w:t>
            </w:r>
          </w:p>
        </w:tc>
      </w:tr>
      <w:tr w:rsidR="0086600F" w:rsidTr="006309AC">
        <w:trPr>
          <w:gridAfter w:val="1"/>
          <w:wAfter w:w="10" w:type="dxa"/>
          <w:trHeight w:val="20"/>
          <w:jc w:val="center"/>
        </w:trPr>
        <w:tc>
          <w:tcPr>
            <w:tcW w:w="279" w:type="dxa"/>
            <w:tcMar>
              <w:top w:w="0" w:type="dxa"/>
              <w:left w:w="45" w:type="dxa"/>
              <w:bottom w:w="0" w:type="dxa"/>
              <w:right w:w="45" w:type="dxa"/>
            </w:tcMar>
            <w:vAlign w:val="center"/>
          </w:tcPr>
          <w:p w:rsidR="0086600F" w:rsidRDefault="0058710B">
            <w:pPr>
              <w:spacing w:after="200"/>
              <w:jc w:val="both"/>
            </w:pPr>
            <w:r>
              <w:t>4</w:t>
            </w:r>
          </w:p>
        </w:tc>
        <w:tc>
          <w:tcPr>
            <w:tcW w:w="283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86600F" w:rsidRDefault="0058710B">
            <w:pPr>
              <w:widowControl w:val="0"/>
              <w:spacing w:after="200"/>
              <w:jc w:val="both"/>
            </w:pPr>
            <w:r>
              <w:t xml:space="preserve">Учасник має подати деталізовану методологію вирішення творчого завдання. </w:t>
            </w:r>
            <w:r>
              <w:br/>
            </w:r>
            <w:r>
              <w:rPr>
                <w:b/>
              </w:rPr>
              <w:t>Оцінюється членами технічного комітету</w:t>
            </w:r>
          </w:p>
          <w:p w:rsidR="0086600F" w:rsidRDefault="0086600F">
            <w:pPr>
              <w:pBdr>
                <w:top w:val="nil"/>
                <w:left w:val="nil"/>
                <w:bottom w:val="nil"/>
                <w:right w:val="nil"/>
                <w:between w:val="nil"/>
              </w:pBdr>
              <w:spacing w:after="200"/>
              <w:jc w:val="both"/>
            </w:pPr>
          </w:p>
        </w:tc>
        <w:tc>
          <w:tcPr>
            <w:tcW w:w="5528" w:type="dxa"/>
          </w:tcPr>
          <w:p w:rsidR="0086600F" w:rsidRDefault="0058710B">
            <w:pPr>
              <w:spacing w:after="200"/>
              <w:jc w:val="both"/>
            </w:pPr>
            <w:r>
              <w:t xml:space="preserve">15 балів - надані матеріали, містять  методології викладу творчого завдання, з деталізацією залучених гостей та комплексом матеріалів та підходів. </w:t>
            </w:r>
          </w:p>
          <w:p w:rsidR="0086600F" w:rsidRDefault="0058710B">
            <w:pPr>
              <w:spacing w:after="200"/>
              <w:jc w:val="both"/>
            </w:pPr>
            <w:r>
              <w:t xml:space="preserve">5 балів - запропонована методологія не містить деталізації та опису процесів. </w:t>
            </w:r>
          </w:p>
          <w:p w:rsidR="0086600F" w:rsidRDefault="0058710B">
            <w:pPr>
              <w:spacing w:after="200"/>
              <w:jc w:val="both"/>
            </w:pPr>
            <w:r>
              <w:t>0 балів - жодних матеріалів не подано.</w:t>
            </w:r>
          </w:p>
        </w:tc>
        <w:tc>
          <w:tcPr>
            <w:tcW w:w="1276" w:type="dxa"/>
            <w:tcMar>
              <w:top w:w="0" w:type="dxa"/>
              <w:left w:w="45" w:type="dxa"/>
              <w:bottom w:w="0" w:type="dxa"/>
              <w:right w:w="45" w:type="dxa"/>
            </w:tcMar>
            <w:vAlign w:val="center"/>
          </w:tcPr>
          <w:p w:rsidR="0086600F" w:rsidRDefault="0058710B">
            <w:pPr>
              <w:spacing w:after="200"/>
              <w:jc w:val="both"/>
            </w:pPr>
            <w:r>
              <w:t>15</w:t>
            </w:r>
          </w:p>
        </w:tc>
      </w:tr>
    </w:tbl>
    <w:p w:rsidR="0086600F" w:rsidRDefault="0086600F" w:rsidP="00FB38C5">
      <w:pPr>
        <w:spacing w:after="200"/>
        <w:jc w:val="both"/>
      </w:pPr>
    </w:p>
    <w:sectPr w:rsidR="0086600F" w:rsidSect="006309AC">
      <w:headerReference w:type="default" r:id="rId9"/>
      <w:pgSz w:w="11906" w:h="16838"/>
      <w:pgMar w:top="709"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9C1" w:rsidRDefault="00C769C1">
      <w:pPr>
        <w:spacing w:after="0" w:line="240" w:lineRule="auto"/>
      </w:pPr>
      <w:r>
        <w:separator/>
      </w:r>
    </w:p>
  </w:endnote>
  <w:endnote w:type="continuationSeparator" w:id="0">
    <w:p w:rsidR="00C769C1" w:rsidRDefault="00C7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9C1" w:rsidRDefault="00C769C1">
      <w:pPr>
        <w:spacing w:after="0" w:line="240" w:lineRule="auto"/>
      </w:pPr>
      <w:r>
        <w:separator/>
      </w:r>
    </w:p>
  </w:footnote>
  <w:footnote w:type="continuationSeparator" w:id="0">
    <w:p w:rsidR="00C769C1" w:rsidRDefault="00C76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00F" w:rsidRDefault="0058710B">
    <w:pPr>
      <w:pBdr>
        <w:top w:val="nil"/>
        <w:left w:val="nil"/>
        <w:bottom w:val="nil"/>
        <w:right w:val="nil"/>
        <w:between w:val="nil"/>
      </w:pBdr>
      <w:tabs>
        <w:tab w:val="center" w:pos="4819"/>
        <w:tab w:val="right" w:pos="9639"/>
      </w:tabs>
      <w:spacing w:after="0" w:line="240" w:lineRule="auto"/>
      <w:ind w:left="-709"/>
      <w:rPr>
        <w:color w:val="000000"/>
      </w:rPr>
    </w:pPr>
    <w:r>
      <w:rPr>
        <w:color w:val="000000"/>
      </w:rPr>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08B5"/>
    <w:multiLevelType w:val="multilevel"/>
    <w:tmpl w:val="653C1CB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63934F66"/>
    <w:multiLevelType w:val="multilevel"/>
    <w:tmpl w:val="A8963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913BAB"/>
    <w:multiLevelType w:val="multilevel"/>
    <w:tmpl w:val="8F240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0F"/>
    <w:rsid w:val="003957FF"/>
    <w:rsid w:val="004C4A5A"/>
    <w:rsid w:val="0058710B"/>
    <w:rsid w:val="005D4B6E"/>
    <w:rsid w:val="005F38F5"/>
    <w:rsid w:val="006309AC"/>
    <w:rsid w:val="0086600F"/>
    <w:rsid w:val="009F6BB2"/>
    <w:rsid w:val="00A8182F"/>
    <w:rsid w:val="00C769C1"/>
    <w:rsid w:val="00FA4D51"/>
    <w:rsid w:val="00FB3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9F6B"/>
  <w15:docId w15:val="{E0376E83-E63A-4AA2-860A-862D6C03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ечания Знак"/>
    <w:basedOn w:val="a7"/>
    <w:link w:val="af"/>
    <w:uiPriority w:val="99"/>
    <w:semiHidden/>
    <w:rsid w:val="006D3D1B"/>
    <w:rPr>
      <w:b/>
      <w:bCs/>
      <w:sz w:val="20"/>
      <w:szCs w:val="20"/>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и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ий колонтитул Знак"/>
    <w:basedOn w:val="a0"/>
    <w:link w:val="af5"/>
    <w:uiPriority w:val="99"/>
    <w:rsid w:val="00C875AA"/>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8HHeMsywiRaD3qOSWYcVNhTM5J7BrQN9/view?usp=sha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cXQEct9m6BaGXxXxZ+wNyMGqA==">CgMxLjAyCWguMzBqMHpsbDIIaC5namRneHM4AHIhMXRDU0IwVkt1WWtfNVFNeGlpN3NwcE1ZQmRPX3pYTG5O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2024-08-22T06:51:00Z</dcterms:created>
  <dcterms:modified xsi:type="dcterms:W3CDTF">2024-11-13T13:05:00Z</dcterms:modified>
</cp:coreProperties>
</file>