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24.02.2026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РІЧНОМУ ТЕНДЕРІ № Q1-FA-T34-RFP</w:t>
      </w:r>
    </w:p>
    <w:p w:rsidR="00000000" w:rsidDel="00000000" w:rsidP="00000000" w:rsidRDefault="00000000" w:rsidRPr="00000000" w14:paraId="00000004">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 надання послуг з обслуговування принтерів, багатофункціональних пристроїв (БФП) та заправки/відновлення картриджів </w:t>
      </w:r>
    </w:p>
    <w:p w:rsidR="00000000" w:rsidDel="00000000" w:rsidP="00000000" w:rsidRDefault="00000000" w:rsidRPr="00000000" w14:paraId="00000005">
      <w:pPr>
        <w:widowControl w:val="0"/>
        <w:spacing w:after="200" w:line="276" w:lineRule="auto"/>
        <w:ind w:firstLine="0"/>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ДАТА І ЧАС ЗАКІНЧЕННЯ ПРИЙНЯТТЯ ПРОПОЗИЦІЙ: 09 березня 2026 р.,  17:00 за Київським часом.</w:t>
      </w:r>
    </w:p>
    <w:p w:rsidR="00000000" w:rsidDel="00000000" w:rsidP="00000000" w:rsidRDefault="00000000" w:rsidRPr="00000000" w14:paraId="00000006">
      <w:pPr>
        <w:widowControl w:val="0"/>
        <w:rPr>
          <w:rFonts w:ascii="Times New Roman" w:cs="Times New Roman" w:eastAsia="Times New Roman" w:hAnsi="Times New Roman"/>
          <w:b w:val="1"/>
          <w:bCs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bCs w:val="1"/>
          <w:rtl w:val="0"/>
        </w:rPr>
        <w:t xml:space="preserve">Коротко про «Право на захист»:</w:t>
      </w:r>
      <w:r w:rsidDel="00000000" w:rsidR="00000000" w:rsidRPr="00000000">
        <w:rPr>
          <w:rFonts w:ascii="Times New Roman" w:cs="Times New Roman" w:eastAsia="Times New Roman" w:hAnsi="Times New Roman"/>
          <w:rtl w:val="0"/>
        </w:rPr>
        <w:t xml:space="preserve"> 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w:t>
      </w:r>
      <w:hyperlink r:id="rId7">
        <w:r w:rsidDel="00000000" w:rsidR="00000000" w:rsidRPr="00000000">
          <w:rPr>
            <w:rFonts w:ascii="Times New Roman" w:cs="Times New Roman" w:eastAsia="Times New Roman" w:hAnsi="Times New Roman"/>
            <w:rtl w:val="0"/>
          </w:rPr>
          <w:t xml:space="preserve">http://r2p.org.ua</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07">
      <w:pPr>
        <w:widowControl w:val="0"/>
        <w:rPr>
          <w:rFonts w:ascii="Times New Roman" w:cs="Times New Roman" w:eastAsia="Times New Roman" w:hAnsi="Times New Roman"/>
          <w:b w:val="1"/>
          <w:bCs w:val="1"/>
          <w:sz w:val="24"/>
          <w:szCs w:val="24"/>
        </w:rPr>
      </w:pPr>
      <w:bookmarkStart w:colFirst="0" w:colLast="0" w:name="_heading=h.ketu31jwaf4p" w:id="1"/>
      <w:bookmarkEnd w:id="1"/>
      <w:r w:rsidDel="00000000" w:rsidR="00000000" w:rsidRPr="00000000">
        <w:rPr>
          <w:rFonts w:ascii="Times New Roman" w:cs="Times New Roman" w:eastAsia="Times New Roman" w:hAnsi="Times New Roman"/>
          <w:b w:val="1"/>
          <w:bCs w:val="1"/>
          <w:sz w:val="24"/>
          <w:szCs w:val="24"/>
          <w:rtl w:val="0"/>
        </w:rPr>
        <w:t xml:space="preserve">БФ «Право на захист» запрошує вас до участі в тендері на закупівлю послуг з технічного обслуговування та ремонту принтерів і БФП (Kyocera, Canon, Xerox, Epson, HP, Samsung), а також заправки та відновлення картриджів для поточних потреб, пов’язаних з їх експлуатацією, з метою забезпечення безперебійної роботи техніки.</w:t>
      </w:r>
    </w:p>
    <w:p w:rsidR="00000000" w:rsidDel="00000000" w:rsidP="00000000" w:rsidRDefault="00000000" w:rsidRPr="00000000" w14:paraId="00000008">
      <w:pPr>
        <w:spacing w:after="240" w:before="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повинні надаватися відповідно до законодавства України та стандартів виробників обладнання.</w:t>
      </w:r>
    </w:p>
    <w:p w:rsidR="00000000" w:rsidDel="00000000" w:rsidP="00000000" w:rsidRDefault="00000000" w:rsidRPr="00000000" w14:paraId="00000009">
      <w:pPr>
        <w:pStyle w:val="Heading3"/>
        <w:keepNext w:val="0"/>
        <w:spacing w:after="80" w:before="200" w:line="240" w:lineRule="auto"/>
        <w:jc w:val="both"/>
        <w:rPr>
          <w:rFonts w:ascii="Times New Roman" w:cs="Times New Roman" w:eastAsia="Times New Roman" w:hAnsi="Times New Roman"/>
          <w:b w:val="0"/>
          <w:bCs w:val="0"/>
          <w:sz w:val="24"/>
          <w:szCs w:val="24"/>
        </w:rPr>
      </w:pPr>
      <w:bookmarkStart w:colFirst="0" w:colLast="0" w:name="_heading=h.aq5v6tyoc2bk" w:id="2"/>
      <w:bookmarkEnd w:id="2"/>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Основний перелік моделей обладнання</w:t>
      </w:r>
      <w:r w:rsidDel="00000000" w:rsidR="00000000" w:rsidRPr="00000000">
        <w:rPr>
          <w:rFonts w:ascii="Times New Roman" w:cs="Times New Roman" w:eastAsia="Times New Roman" w:hAnsi="Times New Roman"/>
          <w:b w:val="0"/>
          <w:bCs w:val="0"/>
          <w:sz w:val="24"/>
          <w:szCs w:val="24"/>
          <w:rtl w:val="0"/>
        </w:rPr>
        <w:t xml:space="preserve"> наведений у Технічному завданні (ТЗ).</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2.Повний перелік послуг, вимог до надання послуг, а також умови технічної та фінансової оцінки</w:t>
      </w:r>
      <w:r w:rsidDel="00000000" w:rsidR="00000000" w:rsidRPr="00000000">
        <w:rPr>
          <w:rFonts w:ascii="Times New Roman" w:cs="Times New Roman" w:eastAsia="Times New Roman" w:hAnsi="Times New Roman"/>
          <w:sz w:val="24"/>
          <w:szCs w:val="24"/>
          <w:rtl w:val="0"/>
        </w:rPr>
        <w:t xml:space="preserve"> наведені у Технічному завданні (ТЗ).                                                                            Основні категорії послуг наведені у Додатку В (Форма фінансової пропозиції).    </w:t>
      </w:r>
    </w:p>
    <w:p w:rsidR="00000000" w:rsidDel="00000000" w:rsidP="00000000" w:rsidRDefault="00000000" w:rsidRPr="00000000" w14:paraId="0000000C">
      <w:pPr>
        <w:spacing w:after="240" w:before="0" w:line="24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Строк та місце надання послуг:</w:t>
      </w:r>
      <w:r w:rsidDel="00000000" w:rsidR="00000000" w:rsidRPr="00000000">
        <w:rPr>
          <w:rFonts w:ascii="Times New Roman" w:cs="Times New Roman" w:eastAsia="Times New Roman" w:hAnsi="Times New Roman"/>
          <w:sz w:val="24"/>
          <w:szCs w:val="24"/>
          <w:rtl w:val="0"/>
        </w:rPr>
        <w:t xml:space="preserve"> з моменту укладення договору до 31 грудня 2026 року.       м. Київ, вул. Григорія Сковороди, 21/16.     </w:t>
      </w:r>
    </w:p>
    <w:p w:rsidR="00000000" w:rsidDel="00000000" w:rsidP="00000000" w:rsidRDefault="00000000" w:rsidRPr="00000000" w14:paraId="0000000D">
      <w:pPr>
        <w:spacing w:after="240" w:before="0" w:line="240" w:lineRule="auto"/>
        <w:ind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4. Подання пропозицій                                                                                                               </w:t>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bCs w:val="1"/>
          <w:color w:val="0000cc"/>
          <w:sz w:val="24"/>
          <w:szCs w:val="24"/>
          <w:u w:val="single"/>
          <w:rtl w:val="0"/>
        </w:rPr>
        <w:t xml:space="preserve">17:00, 09 березня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 </w:t>
      </w:r>
      <w:hyperlink r:id="rId8">
        <w:r w:rsidDel="00000000" w:rsidR="00000000" w:rsidRPr="00000000">
          <w:rPr>
            <w:rFonts w:ascii="Times New Roman" w:cs="Times New Roman" w:eastAsia="Times New Roman" w:hAnsi="Times New Roman"/>
            <w:b w:val="1"/>
            <w:bCs w:val="1"/>
            <w:color w:val="0000cc"/>
            <w:sz w:val="24"/>
            <w:szCs w:val="24"/>
            <w:rtl w:val="0"/>
          </w:rPr>
          <w:t xml:space="preserve">tender@r2p.org.ua</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*Зверніть увагу, що пропозиція, надіслана на іншу електронну адресу, не буде допущена до участі в тендері. Ваша пропозиція розглядатиметься протягом 14 днів після завершення збору пропозицій, а результати будуть повідомлені окремо. Будь-яка відповідь, отримана після зазначеної дати та часу або надіслана на іншу електронну адресу, не розглядатиметься</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spacing w:after="240" w:before="0" w:line="240"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 листа:  «Пропозиція до тендеру № Q1-FA-T34-RFP» </w:t>
      </w:r>
    </w:p>
    <w:p w:rsidR="00000000" w:rsidDel="00000000" w:rsidP="00000000" w:rsidRDefault="00000000" w:rsidRPr="00000000" w14:paraId="0000000F">
      <w:pPr>
        <w:spacing w:after="24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Пропозиція повинна містити: </w:t>
      </w:r>
      <w:r w:rsidDel="00000000" w:rsidR="00000000" w:rsidRPr="00000000">
        <w:rPr>
          <w:rFonts w:ascii="Times New Roman" w:cs="Times New Roman" w:eastAsia="Times New Roman" w:hAnsi="Times New Roman"/>
          <w:b w:val="1"/>
          <w:bCs w:val="1"/>
          <w:sz w:val="24"/>
          <w:szCs w:val="24"/>
          <w:rtl w:val="0"/>
        </w:rPr>
        <w:t xml:space="preserve">заповнений Додаток А та Додаток В</w:t>
      </w:r>
      <w:r w:rsidDel="00000000" w:rsidR="00000000" w:rsidRPr="00000000">
        <w:rPr>
          <w:rFonts w:ascii="Times New Roman" w:cs="Times New Roman" w:eastAsia="Times New Roman" w:hAnsi="Times New Roman"/>
          <w:sz w:val="24"/>
          <w:szCs w:val="24"/>
          <w:rtl w:val="0"/>
        </w:rPr>
        <w:t xml:space="preserve"> (Excel та скан з підписом), п</w:t>
      </w:r>
      <w:r w:rsidDel="00000000" w:rsidR="00000000" w:rsidRPr="00000000">
        <w:rPr>
          <w:rFonts w:ascii="Times New Roman" w:cs="Times New Roman" w:eastAsia="Times New Roman" w:hAnsi="Times New Roman"/>
          <w:b w:val="1"/>
          <w:bCs w:val="1"/>
          <w:sz w:val="24"/>
          <w:szCs w:val="24"/>
          <w:rtl w:val="0"/>
        </w:rPr>
        <w:t xml:space="preserve">овний перелік документів зазначений у ТЗ.</w:t>
      </w:r>
      <w:r w:rsidDel="00000000" w:rsidR="00000000" w:rsidRPr="00000000">
        <w:rPr>
          <w:rFonts w:ascii="Times New Roman" w:cs="Times New Roman" w:eastAsia="Times New Roman" w:hAnsi="Times New Roman"/>
          <w:sz w:val="24"/>
          <w:szCs w:val="24"/>
          <w:rtl w:val="0"/>
        </w:rPr>
        <w:t xml:space="preserve"> Вимоги до технічної та фінансової пропозиції зазначені у файлі «Технічне завдання», що є невід’ємною частиною тендеру.</w:t>
      </w:r>
    </w:p>
    <w:p w:rsidR="00000000" w:rsidDel="00000000" w:rsidP="00000000" w:rsidRDefault="00000000" w:rsidRPr="00000000" w14:paraId="00000010">
      <w:pPr>
        <w:spacing w:after="240" w:before="240" w:line="276" w:lineRule="auto"/>
        <w:ind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u w:val="single"/>
          <w:rtl w:val="0"/>
        </w:rPr>
        <w:t xml:space="preserve">Оцінка пропозицій:</w:t>
        <w:br w:type="textWrapping"/>
      </w:r>
      <w:r w:rsidDel="00000000" w:rsidR="00000000" w:rsidRPr="00000000">
        <w:rPr>
          <w:rFonts w:ascii="Times New Roman" w:cs="Times New Roman" w:eastAsia="Times New Roman" w:hAnsi="Times New Roman"/>
          <w:rtl w:val="0"/>
        </w:rPr>
        <w:t xml:space="preserve">1. Технічна оцінка за критеріями (детальний опис критеріїв та методика оцінки наведена у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                                                                                   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                                                        3. Порівняння загальної кількості набраних балів кожного учасника, вибір переможця за найвищою кількістю балів.                                                                                                                                                                </w:t>
      </w:r>
      <w:r w:rsidDel="00000000" w:rsidR="00000000" w:rsidRPr="00000000">
        <w:rPr>
          <w:rFonts w:ascii="Times New Roman" w:cs="Times New Roman" w:eastAsia="Times New Roman" w:hAnsi="Times New Roman"/>
          <w:i w:val="1"/>
          <w:iCs w:val="1"/>
          <w:rtl w:val="0"/>
        </w:rPr>
        <w:t xml:space="preserve">Технічна складова детальної пропозиції може отримати максимально 70 балів, фінансова – 30 балів.</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Вимоги до надання послуг, пакування, доставки та логістики, витратних матеріалів і запчастин, документи та підтвердження, критерії оцінювання, умови співпраці та подання пропозицій </w:t>
      </w:r>
      <w:r w:rsidDel="00000000" w:rsidR="00000000" w:rsidRPr="00000000">
        <w:rPr>
          <w:rFonts w:ascii="Times New Roman" w:cs="Times New Roman" w:eastAsia="Times New Roman" w:hAnsi="Times New Roman"/>
          <w:b w:val="1"/>
          <w:bCs w:val="1"/>
          <w:sz w:val="24"/>
          <w:szCs w:val="24"/>
          <w:rtl w:val="0"/>
        </w:rPr>
        <w:t xml:space="preserve">детально описані у Технічному завданні (ТЗ),</w:t>
      </w:r>
      <w:r w:rsidDel="00000000" w:rsidR="00000000" w:rsidRPr="00000000">
        <w:rPr>
          <w:rFonts w:ascii="Times New Roman" w:cs="Times New Roman" w:eastAsia="Times New Roman" w:hAnsi="Times New Roman"/>
          <w:sz w:val="24"/>
          <w:szCs w:val="24"/>
          <w:rtl w:val="0"/>
        </w:rPr>
        <w:t xml:space="preserve"> яке є невід’ємною частиною цього тендерного запрошення. Усі пропозиції повинні відповідати цим вимогам.</w:t>
      </w:r>
    </w:p>
    <w:p w:rsidR="00000000" w:rsidDel="00000000" w:rsidP="00000000" w:rsidRDefault="00000000" w:rsidRPr="00000000" w14:paraId="00000012">
      <w:pPr>
        <w:pStyle w:val="Heading3"/>
        <w:keepNext w:val="0"/>
        <w:spacing w:after="80" w:before="280" w:line="276" w:lineRule="auto"/>
        <w:ind w:firstLine="0"/>
        <w:rPr>
          <w:rFonts w:ascii="Times New Roman" w:cs="Times New Roman" w:eastAsia="Times New Roman" w:hAnsi="Times New Roman"/>
          <w:b w:val="0"/>
          <w:bCs w:val="0"/>
          <w:sz w:val="24"/>
          <w:szCs w:val="24"/>
        </w:rPr>
      </w:pPr>
      <w:bookmarkStart w:colFirst="0" w:colLast="0" w:name="_heading=h.bo85zqc86lhb" w:id="3"/>
      <w:bookmarkEnd w:id="3"/>
      <w:r w:rsidDel="00000000" w:rsidR="00000000" w:rsidRPr="00000000">
        <w:rPr>
          <w:rFonts w:ascii="Times New Roman" w:cs="Times New Roman" w:eastAsia="Times New Roman" w:hAnsi="Times New Roman"/>
          <w:b w:val="0"/>
          <w:bCs w:val="0"/>
          <w:sz w:val="24"/>
          <w:szCs w:val="24"/>
          <w:rtl w:val="0"/>
        </w:rPr>
        <w:t xml:space="preserve">Додаткові умови: Замовник залишає за собою право змінювати об’єми послуг. Додаткові роботи оплачуються лише після письмового погодження.</w:t>
      </w:r>
    </w:p>
    <w:p w:rsidR="00000000" w:rsidDel="00000000" w:rsidP="00000000" w:rsidRDefault="00000000" w:rsidRPr="00000000" w14:paraId="00000013">
      <w:pPr>
        <w:widowControl w:val="0"/>
        <w:spacing w:line="240" w:lineRule="auto"/>
        <w:ind w:right="-2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right="-2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у вас виникнуть питання </w:t>
      </w:r>
      <w:r w:rsidDel="00000000" w:rsidR="00000000" w:rsidRPr="00000000">
        <w:rPr>
          <w:rFonts w:ascii="Times New Roman" w:cs="Times New Roman" w:eastAsia="Times New Roman" w:hAnsi="Times New Roman"/>
          <w:sz w:val="24"/>
          <w:szCs w:val="24"/>
          <w:rtl w:val="0"/>
        </w:rPr>
        <w:t xml:space="preserve">щодо подання пропозицій</w:t>
      </w:r>
      <w:r w:rsidDel="00000000" w:rsidR="00000000" w:rsidRPr="00000000">
        <w:rPr>
          <w:rFonts w:ascii="Times New Roman" w:cs="Times New Roman" w:eastAsia="Times New Roman" w:hAnsi="Times New Roman"/>
          <w:sz w:val="24"/>
          <w:szCs w:val="24"/>
          <w:rtl w:val="0"/>
        </w:rPr>
        <w:t xml:space="preserve">, ви можете звернутися до Вікторії Манорік  </w:t>
      </w:r>
      <w:r w:rsidDel="00000000" w:rsidR="00000000" w:rsidRPr="00000000">
        <w:rPr>
          <w:rFonts w:ascii="Times New Roman" w:cs="Times New Roman" w:eastAsia="Times New Roman" w:hAnsi="Times New Roman"/>
          <w:sz w:val="24"/>
          <w:szCs w:val="24"/>
          <w:rtl w:val="0"/>
        </w:rPr>
        <w:t xml:space="preserve">v.manorik@r2p.org.ua</w:t>
      </w:r>
      <w:r w:rsidDel="00000000" w:rsidR="00000000" w:rsidRPr="00000000">
        <w:rPr>
          <w:rtl w:val="0"/>
        </w:rPr>
      </w:r>
    </w:p>
    <w:p w:rsidR="00000000" w:rsidDel="00000000" w:rsidP="00000000" w:rsidRDefault="00000000" w:rsidRPr="00000000" w14:paraId="00000015">
      <w:pPr>
        <w:widowControl w:val="0"/>
        <w:spacing w:line="240" w:lineRule="auto"/>
        <w:ind w:righ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Дякуємо за співпрацю!</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повагою,</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Президент БФ «Право на Захист»</w:t>
        <w:tab/>
        <w:tab/>
        <w:tab/>
        <w:tab/>
        <w:tab/>
        <w:tab/>
        <w:tab/>
        <w:t xml:space="preserve">        Галкін О.Ю</w:t>
      </w:r>
    </w:p>
    <w:p w:rsidR="00000000" w:rsidDel="00000000" w:rsidP="00000000" w:rsidRDefault="00000000" w:rsidRPr="00000000" w14:paraId="0000001B">
      <w:pPr>
        <w:widowControl w:val="0"/>
        <w:spacing w:after="240" w:before="240" w:line="276" w:lineRule="auto"/>
        <w:ind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spacing w:after="240" w:before="240"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документація затверджена:                     Головний менеджер із закупівельної діяльності                    </w:t>
      </w:r>
    </w:p>
    <w:p w:rsidR="00000000" w:rsidDel="00000000" w:rsidP="00000000" w:rsidRDefault="00000000" w:rsidRPr="00000000" w14:paraId="0000001D">
      <w:pPr>
        <w:widowControl w:val="0"/>
        <w:spacing w:after="240" w:before="240" w:line="276"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Прибатень Р.А.</w:t>
      </w:r>
      <w:r w:rsidDel="00000000" w:rsidR="00000000" w:rsidRPr="00000000">
        <w:rPr>
          <w:rtl w:val="0"/>
        </w:rPr>
      </w:r>
    </w:p>
    <w:p w:rsidR="00000000" w:rsidDel="00000000" w:rsidP="00000000" w:rsidRDefault="00000000" w:rsidRPr="00000000" w14:paraId="0000001E">
      <w:pPr>
        <w:widowControl w:val="0"/>
        <w:spacing w:after="240" w:before="240" w:line="276" w:lineRule="auto"/>
        <w:ind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widowControl w:val="0"/>
        <w:spacing w:after="240" w:before="240" w:line="276" w:lineRule="auto"/>
        <w:ind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0">
      <w:pPr>
        <w:widowControl w:val="0"/>
        <w:spacing w:after="240" w:before="240" w:line="276" w:lineRule="auto"/>
        <w:ind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w:t>
      </w:r>
      <w:hyperlink r:id="rId9">
        <w:r w:rsidDel="00000000" w:rsidR="00000000" w:rsidRPr="00000000">
          <w:rPr>
            <w:rFonts w:ascii="Times New Roman" w:cs="Times New Roman" w:eastAsia="Times New Roman" w:hAnsi="Times New Roman"/>
            <w:sz w:val="14"/>
            <w:szCs w:val="14"/>
            <w:rtl w:val="0"/>
          </w:rPr>
          <w:t xml:space="preserve"> </w:t>
        </w:r>
      </w:hyperlink>
      <w:hyperlink r:id="rId10">
        <w:r w:rsidDel="00000000" w:rsidR="00000000" w:rsidRPr="00000000">
          <w:rPr>
            <w:rFonts w:ascii="Times New Roman" w:cs="Times New Roman" w:eastAsia="Times New Roman" w:hAnsi="Times New Roman"/>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1">
      <w:pPr>
        <w:widowControl w:val="0"/>
        <w:spacing w:after="240" w:before="24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sectPr>
      <w:headerReference r:id="rId11" w:type="default"/>
      <w:pgSz w:h="16838" w:w="11906" w:orient="portrait"/>
      <w:pgMar w:bottom="567" w:top="851" w:left="1134" w:right="84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color w:val="0053f0"/>
      </w:rPr>
    </w:pPr>
    <w:r w:rsidDel="00000000" w:rsidR="00000000" w:rsidRPr="00000000">
      <w:rPr>
        <w:color w:val="0053f0"/>
        <w:rtl w:val="0"/>
      </w:rPr>
      <w:t xml:space="preserve">                                                         </w:t>
    </w:r>
  </w:p>
  <w:p w:rsidR="00000000" w:rsidDel="00000000" w:rsidP="00000000" w:rsidRDefault="00000000" w:rsidRPr="00000000" w14:paraId="00000023">
    <w:pPr>
      <w:rPr>
        <w:b w:val="1"/>
        <w:bCs w:val="1"/>
        <w:highlight w:val="white"/>
      </w:rPr>
    </w:pPr>
    <w:r w:rsidDel="00000000" w:rsidR="00000000" w:rsidRPr="00000000">
      <w:rPr>
        <w:b w:val="1"/>
        <w:bCs w:val="1"/>
        <w:highlight w:val="white"/>
        <w:rtl w:val="0"/>
      </w:rPr>
      <w:t xml:space="preserve">                                                        БЛАГОДІЙНА ОРГАНІЗАЦІЯ </w:t>
    </w:r>
    <w:r w:rsidDel="00000000" w:rsidR="00000000" w:rsidRPr="00000000">
      <w:drawing>
        <wp:anchor allowOverlap="1" behindDoc="1" distB="0" distT="0" distL="0" distR="0" hidden="0" layoutInCell="1" locked="0" relativeHeight="0" simplePos="0">
          <wp:simplePos x="0" y="0"/>
          <wp:positionH relativeFrom="column">
            <wp:posOffset>-713094</wp:posOffset>
          </wp:positionH>
          <wp:positionV relativeFrom="paragraph">
            <wp:posOffset>34290</wp:posOffset>
          </wp:positionV>
          <wp:extent cx="1684972" cy="842486"/>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84972" cy="842486"/>
                  </a:xfrm>
                  <a:prstGeom prst="rect"/>
                  <a:ln/>
                </pic:spPr>
              </pic:pic>
            </a:graphicData>
          </a:graphic>
        </wp:anchor>
      </w:drawing>
    </w:r>
  </w:p>
  <w:p w:rsidR="00000000" w:rsidDel="00000000" w:rsidP="00000000" w:rsidRDefault="00000000" w:rsidRPr="00000000" w14:paraId="00000024">
    <w:pPr>
      <w:widowControl w:val="0"/>
      <w:tabs>
        <w:tab w:val="center" w:leader="none" w:pos="4819"/>
        <w:tab w:val="right" w:leader="none" w:pos="9639"/>
      </w:tabs>
      <w:spacing w:line="240" w:lineRule="auto"/>
      <w:ind w:hanging="2"/>
      <w:jc w:val="center"/>
      <w:rPr>
        <w:rFonts w:ascii="Calibri" w:cs="Calibri" w:eastAsia="Calibri" w:hAnsi="Calibri"/>
        <w:b w:val="1"/>
        <w:bCs w:val="1"/>
        <w:sz w:val="20"/>
        <w:szCs w:val="20"/>
        <w:highlight w:val="white"/>
      </w:rPr>
    </w:pPr>
    <w:bookmarkStart w:colFirst="0" w:colLast="0" w:name="_heading=h.ccrafq5l9gpd" w:id="4"/>
    <w:bookmarkEnd w:id="4"/>
    <w:r w:rsidDel="00000000" w:rsidR="00000000" w:rsidRPr="00000000">
      <w:rPr>
        <w:rFonts w:ascii="Calibri" w:cs="Calibri" w:eastAsia="Calibri" w:hAnsi="Calibri"/>
        <w:b w:val="1"/>
        <w:bCs w:val="1"/>
        <w:sz w:val="20"/>
        <w:szCs w:val="20"/>
        <w:highlight w:val="white"/>
        <w:rtl w:val="0"/>
      </w:rPr>
      <w:t xml:space="preserve">«БЛАГОДІЙНИЙ ФОНД «ПРАВО НА ЗАХИСТ»</w:t>
    </w:r>
  </w:p>
  <w:p w:rsidR="00000000" w:rsidDel="00000000" w:rsidP="00000000" w:rsidRDefault="00000000" w:rsidRPr="00000000" w14:paraId="00000025">
    <w:pPr>
      <w:widowControl w:val="0"/>
      <w:tabs>
        <w:tab w:val="center" w:leader="none" w:pos="4819"/>
        <w:tab w:val="right" w:leader="none" w:pos="9639"/>
      </w:tabs>
      <w:spacing w:line="240" w:lineRule="auto"/>
      <w:ind w:hanging="2"/>
      <w:jc w:val="center"/>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white"/>
        <w:rtl w:val="0"/>
      </w:rPr>
      <w:t xml:space="preserve">Юр. адреса: </w:t>
    </w:r>
    <w:r w:rsidDel="00000000" w:rsidR="00000000" w:rsidRPr="00000000">
      <w:rPr>
        <w:rFonts w:ascii="Calibri" w:cs="Calibri" w:eastAsia="Calibri" w:hAnsi="Calibri"/>
        <w:sz w:val="18"/>
        <w:szCs w:val="18"/>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26">
    <w:pPr>
      <w:widowControl w:val="0"/>
      <w:tabs>
        <w:tab w:val="center" w:leader="none" w:pos="4819"/>
        <w:tab w:val="right" w:leader="none" w:pos="9639"/>
      </w:tabs>
      <w:spacing w:line="240" w:lineRule="auto"/>
      <w:ind w:hanging="2"/>
      <w:jc w:val="center"/>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Для листування: вул. Григорія Сковороди, 21/16, Київ,  04070</w:t>
    </w:r>
  </w:p>
  <w:p w:rsidR="00000000" w:rsidDel="00000000" w:rsidP="00000000" w:rsidRDefault="00000000" w:rsidRPr="00000000" w14:paraId="00000027">
    <w:pPr>
      <w:widowControl w:val="0"/>
      <w:tabs>
        <w:tab w:val="center" w:leader="none" w:pos="4819"/>
        <w:tab w:val="right" w:leader="none" w:pos="9639"/>
      </w:tabs>
      <w:spacing w:line="240" w:lineRule="auto"/>
      <w:ind w:hanging="2"/>
      <w:jc w:val="center"/>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t:+38 044 337 17 62,  e-mail: </w:t>
    </w:r>
    <w:hyperlink r:id="rId2">
      <w:r w:rsidDel="00000000" w:rsidR="00000000" w:rsidRPr="00000000">
        <w:rPr>
          <w:rFonts w:ascii="Calibri" w:cs="Calibri" w:eastAsia="Calibri" w:hAnsi="Calibri"/>
          <w:sz w:val="18"/>
          <w:szCs w:val="18"/>
          <w:highlight w:val="white"/>
          <w:rtl w:val="0"/>
        </w:rPr>
        <w:t xml:space="preserve">r2p@r2p.org.ua</w:t>
      </w:r>
    </w:hyperlink>
    <w:r w:rsidDel="00000000" w:rsidR="00000000" w:rsidRPr="00000000">
      <w:rPr>
        <w:rFonts w:ascii="Calibri" w:cs="Calibri" w:eastAsia="Calibri" w:hAnsi="Calibri"/>
        <w:sz w:val="18"/>
        <w:szCs w:val="18"/>
        <w:highlight w:val="white"/>
        <w:rtl w:val="0"/>
      </w:rPr>
      <w:t xml:space="preserve">, сайт: </w:t>
    </w:r>
    <w:hyperlink r:id="rId3">
      <w:r w:rsidDel="00000000" w:rsidR="00000000" w:rsidRPr="00000000">
        <w:rPr>
          <w:rFonts w:ascii="Calibri" w:cs="Calibri" w:eastAsia="Calibri" w:hAnsi="Calibri"/>
          <w:sz w:val="18"/>
          <w:szCs w:val="18"/>
          <w:highlight w:val="white"/>
          <w:u w:val="single"/>
          <w:rtl w:val="0"/>
        </w:rPr>
        <w:t xml:space="preserve">https://r2p.org.ua/</w:t>
      </w:r>
    </w:hyperlink>
    <w:r w:rsidDel="00000000" w:rsidR="00000000" w:rsidRPr="00000000">
      <w:rPr>
        <w:rFonts w:ascii="Calibri" w:cs="Calibri" w:eastAsia="Calibri" w:hAnsi="Calibri"/>
        <w:sz w:val="18"/>
        <w:szCs w:val="18"/>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-720089</wp:posOffset>
          </wp:positionH>
          <wp:positionV relativeFrom="paragraph">
            <wp:posOffset>229870</wp:posOffset>
          </wp:positionV>
          <wp:extent cx="8804275" cy="114295"/>
          <wp:effectExtent b="0" l="0" r="0" t="0"/>
          <wp:wrapNone/>
          <wp:docPr id="14"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8804275" cy="114295"/>
                  </a:xfrm>
                  <a:prstGeom prst="rect"/>
                  <a:ln/>
                </pic:spPr>
              </pic:pic>
            </a:graphicData>
          </a:graphic>
        </wp:anchor>
      </w:drawing>
    </w:r>
  </w:p>
  <w:p w:rsidR="00000000" w:rsidDel="00000000" w:rsidP="00000000" w:rsidRDefault="00000000" w:rsidRPr="00000000" w14:paraId="00000028">
    <w:pPr>
      <w:widowControl w:val="0"/>
      <w:tabs>
        <w:tab w:val="center" w:leader="none" w:pos="4819"/>
        <w:tab w:val="right" w:leader="none" w:pos="9639"/>
      </w:tabs>
      <w:spacing w:line="240" w:lineRule="auto"/>
      <w:ind w:hanging="2"/>
      <w:jc w:val="center"/>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9">
    <w:pPr>
      <w:widowControl w:val="0"/>
      <w:spacing w:line="240" w:lineRule="auto"/>
      <w:ind w:hanging="2"/>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pPr>
      <w:spacing w:after="200"/>
      <w:ind w:left="720"/>
      <w:contextualSpacing w:val="1"/>
    </w:pPr>
    <w:rPr>
      <w:rFonts w:ascii="Calibri" w:cs="Times New Roman" w:eastAsia="Calibri" w:hAnsi="Calibri"/>
      <w:lang w:eastAsia="en-US" w:val="uk-UA"/>
    </w:rPr>
  </w:style>
  <w:style w:type="character" w:styleId="a8">
    <w:name w:val="Strong"/>
    <w:uiPriority w:val="22"/>
    <w:qFormat w:val="1"/>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hcr.org/ua/media/dodatok-e-kodeks-povedinky-postachalnykiv-oon-pdf-1" TargetMode="External"/><Relationship Id="rId9" Type="http://schemas.openxmlformats.org/officeDocument/2006/relationships/hyperlink" Target="https://www.unhcr.org/ua/media/dodatok-e-kodeks-povedinky-postachalnykiv-oon-pdf-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1qu5TNP34SdHzBti3/FrG3MA==">CgMxLjAyCWguMzBqMHpsbDIOaC5rZXR1MzFqd2FmNHAyDmguYXE1djZ0eW9jMmJrMg5oLmJvODV6cWM4NmxoYjIOaC5jY3JhZnE1bDlncGQ4AHIhMTh0M25TdWNveHdVMncwTjV3M0F2MHk3emVGeDdIcmtY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2025-12-26T11:07:00Z</dcterms:created>
  <dc:creator>Близнюкова Анна</dc:creator>
</cp:coreProperties>
</file>