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 вересня 2024 р.</w:t>
      </w:r>
    </w:p>
    <w:p w:rsidR="00000000" w:rsidDel="00000000" w:rsidP="00000000" w:rsidRDefault="00000000" w:rsidRPr="00000000" w14:paraId="00000002">
      <w:pPr>
        <w:widowControl w:val="0"/>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200"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Технічне завдання для закупівлі послуг</w:t>
      </w:r>
    </w:p>
    <w:p w:rsidR="00000000" w:rsidDel="00000000" w:rsidP="00000000" w:rsidRDefault="00000000" w:rsidRPr="00000000" w14:paraId="00000004">
      <w:pPr>
        <w:widowControl w:val="0"/>
        <w:spacing w:after="200"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Ментора-методолога з організаційного розвитку для організацій громадянського суспільства</w:t>
      </w:r>
    </w:p>
    <w:p w:rsidR="00000000" w:rsidDel="00000000" w:rsidP="00000000" w:rsidRDefault="00000000" w:rsidRPr="00000000" w14:paraId="00000005">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(Далі – Фонд) </w:t>
      </w:r>
      <w:r w:rsidDel="00000000" w:rsidR="00000000" w:rsidRPr="00000000">
        <w:rPr>
          <w:rFonts w:ascii="Times New Roman" w:cs="Times New Roman" w:eastAsia="Times New Roman" w:hAnsi="Times New Roman"/>
          <w:b w:val="1"/>
          <w:rtl w:val="0"/>
        </w:rPr>
        <w:t xml:space="preserve">реалізовує проєкт «Розбудова спроможності та мережування місцевих організацій громадянського суспільства (далі - ОГС) у Запорізькій, Миколаївській та Херсонській областях»</w:t>
      </w:r>
      <w:r w:rsidDel="00000000" w:rsidR="00000000" w:rsidRPr="00000000">
        <w:rPr>
          <w:rFonts w:ascii="Times New Roman" w:cs="Times New Roman" w:eastAsia="Times New Roman" w:hAnsi="Times New Roman"/>
          <w:rtl w:val="0"/>
        </w:rPr>
        <w:t xml:space="preserve">, який здійснюється в рамках мультидонорського проєкту </w:t>
      </w:r>
      <w:r w:rsidDel="00000000" w:rsidR="00000000" w:rsidRPr="00000000">
        <w:rPr>
          <w:rFonts w:ascii="Times New Roman" w:cs="Times New Roman" w:eastAsia="Times New Roman" w:hAnsi="Times New Roman"/>
          <w:b w:val="1"/>
          <w:rtl w:val="0"/>
        </w:rPr>
        <w:t xml:space="preserve">«Підвищення потенціалу спільнот на півдні та сході України через місцеві ініціативи (EMPOWER)»</w:t>
      </w:r>
      <w:r w:rsidDel="00000000" w:rsidR="00000000" w:rsidRPr="00000000">
        <w:rPr>
          <w:rFonts w:ascii="Times New Roman" w:cs="Times New Roman" w:eastAsia="Times New Roman" w:hAnsi="Times New Roman"/>
          <w:rtl w:val="0"/>
        </w:rPr>
        <w:t xml:space="preserve">, який фінансується Федеральним міністерством економічного співробітництва та розвитку Німеччини (BMZ) за співфінансуванням Генерального директорату з питань європейської цивільної оборони та гуманітарної допомоги та реалізується Deutsche Gesellschaft für Internationale (Zusammenarbeit (GIZ) GmbH.</w:t>
      </w:r>
    </w:p>
    <w:p w:rsidR="00000000" w:rsidDel="00000000" w:rsidP="00000000" w:rsidRDefault="00000000" w:rsidRPr="00000000" w14:paraId="00000006">
      <w:pPr>
        <w:widowControl w:val="0"/>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Проект має на меті посилити організаційну спроможність ОГС, які працюють в сфері екстреного реагування, з вразливими категоріями населення, ВПО через реалізацію менторського супроводу та нетворкінг задля сталої та ефективної роботи.</w:t>
      </w:r>
    </w:p>
    <w:p w:rsidR="00000000" w:rsidDel="00000000" w:rsidP="00000000" w:rsidRDefault="00000000" w:rsidRPr="00000000" w14:paraId="0000000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Вакантна вакансія: </w:t>
      </w:r>
      <w:r w:rsidDel="00000000" w:rsidR="00000000" w:rsidRPr="00000000">
        <w:rPr>
          <w:rFonts w:ascii="Times New Roman" w:cs="Times New Roman" w:eastAsia="Times New Roman" w:hAnsi="Times New Roman"/>
          <w:color w:val="000000"/>
          <w:rtl w:val="0"/>
        </w:rPr>
        <w:t xml:space="preserve">Ментор-методолог</w:t>
      </w:r>
      <w:r w:rsidDel="00000000" w:rsidR="00000000" w:rsidRPr="00000000">
        <w:rPr>
          <w:rFonts w:ascii="Times New Roman" w:cs="Times New Roman" w:eastAsia="Times New Roman" w:hAnsi="Times New Roman"/>
          <w:rtl w:val="0"/>
        </w:rPr>
        <w:t xml:space="preserve"> з організаційного розвитку для ОГС з Запорізької, Миколаївської, Херсонської та Дніпропетровської областей (далі – Ментор).  </w:t>
      </w:r>
    </w:p>
    <w:p w:rsidR="00000000" w:rsidDel="00000000" w:rsidP="00000000" w:rsidRDefault="00000000" w:rsidRPr="00000000" w14:paraId="00000008">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Формат надання послуг</w:t>
      </w:r>
      <w:r w:rsidDel="00000000" w:rsidR="00000000" w:rsidRPr="00000000">
        <w:rPr>
          <w:rFonts w:ascii="Times New Roman" w:cs="Times New Roman" w:eastAsia="Times New Roman" w:hAnsi="Times New Roman"/>
          <w:color w:val="000000"/>
          <w:rtl w:val="0"/>
        </w:rPr>
        <w:t xml:space="preserve">: гібридна (онлайн/офлайн)</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Можлива участь в оф-лайн освітніх, презентаційних заходах проекту, моніторингових візитах до ОГС в наступних містах: Запоріжжя, Миколаїв, Херсон, Дніпро, Київ, Одеса.  Максимальна кількість відряджень - 15. </w:t>
      </w:r>
      <w:r w:rsidDel="00000000" w:rsidR="00000000" w:rsidRPr="00000000">
        <w:rPr>
          <w:rFonts w:ascii="Times New Roman" w:cs="Times New Roman" w:eastAsia="Times New Roman" w:hAnsi="Times New Roman"/>
          <w:rtl w:val="0"/>
        </w:rPr>
        <w:t xml:space="preserve">Допуск до візитів буде залежати від безпекової ситуації в країні та за погодження Відділу безпеки Фонду.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A">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Період надання послуг: </w:t>
      </w:r>
      <w:r w:rsidDel="00000000" w:rsidR="00000000" w:rsidRPr="00000000">
        <w:rPr>
          <w:rFonts w:ascii="Times New Roman" w:cs="Times New Roman" w:eastAsia="Times New Roman" w:hAnsi="Times New Roman"/>
          <w:color w:val="000000"/>
          <w:rtl w:val="0"/>
        </w:rPr>
        <w:t xml:space="preserve">вересень 2024 р. – липень </w:t>
      </w:r>
      <w:r w:rsidDel="00000000" w:rsidR="00000000" w:rsidRPr="00000000">
        <w:rPr>
          <w:rFonts w:ascii="Times New Roman" w:cs="Times New Roman" w:eastAsia="Times New Roman" w:hAnsi="Times New Roman"/>
          <w:rtl w:val="0"/>
        </w:rPr>
        <w:t xml:space="preserve">2025 р</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0B">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Запорізька, Миколаївська, Херсонська та Дніпропетровська області.</w:t>
      </w:r>
    </w:p>
    <w:p w:rsidR="00000000" w:rsidDel="00000000" w:rsidP="00000000" w:rsidRDefault="00000000" w:rsidRPr="00000000" w14:paraId="0000000C">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D">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Кількість ОГС для роботи:</w:t>
      </w:r>
      <w:r w:rsidDel="00000000" w:rsidR="00000000" w:rsidRPr="00000000">
        <w:rPr>
          <w:rFonts w:ascii="Times New Roman" w:cs="Times New Roman" w:eastAsia="Times New Roman" w:hAnsi="Times New Roman"/>
          <w:rtl w:val="0"/>
        </w:rPr>
        <w:t xml:space="preserve"> проект охоплює 30 ОГС протягом часу реалізації проекту. Перша хвиля – 17 ОГС.</w:t>
      </w:r>
    </w:p>
    <w:p w:rsidR="00000000" w:rsidDel="00000000" w:rsidP="00000000" w:rsidRDefault="00000000" w:rsidRPr="00000000" w14:paraId="0000000E">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Орієнтовна залученість Ментора:</w:t>
      </w:r>
      <w:r w:rsidDel="00000000" w:rsidR="00000000" w:rsidRPr="00000000">
        <w:rPr>
          <w:rFonts w:ascii="Times New Roman" w:cs="Times New Roman" w:eastAsia="Times New Roman" w:hAnsi="Times New Roman"/>
          <w:rtl w:val="0"/>
        </w:rPr>
        <w:t xml:space="preserve"> до 220 днів, де 1 день = 8 год робочого часу.</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after="200" w:lineRule="auto"/>
        <w:ind w:left="720" w:hanging="36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Технічне завдання в рамках надання послуг:</w:t>
      </w:r>
    </w:p>
    <w:tbl>
      <w:tblPr>
        <w:tblStyle w:val="Table1"/>
        <w:tblW w:w="10072.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4498"/>
        <w:gridCol w:w="3986"/>
        <w:gridCol w:w="1588"/>
        <w:tblGridChange w:id="0">
          <w:tblGrid>
            <w:gridCol w:w="4498"/>
            <w:gridCol w:w="3986"/>
            <w:gridCol w:w="1588"/>
          </w:tblGrid>
        </w:tblGridChange>
      </w:tblGrid>
      <w:tr>
        <w:trPr>
          <w:cantSplit w:val="0"/>
          <w:trHeight w:val="782" w:hRule="atLeast"/>
          <w:tblHeader w:val="0"/>
        </w:trPr>
        <w:tc>
          <w:tcPr/>
          <w:p w:rsidR="00000000" w:rsidDel="00000000" w:rsidP="00000000" w:rsidRDefault="00000000" w:rsidRPr="00000000" w14:paraId="00000010">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Завдання та обов’язки залученого Ментора </w:t>
            </w:r>
          </w:p>
        </w:tc>
        <w:tc>
          <w:tcPr/>
          <w:p w:rsidR="00000000" w:rsidDel="00000000" w:rsidP="00000000" w:rsidRDefault="00000000" w:rsidRPr="00000000" w14:paraId="00000011">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Результат</w:t>
            </w:r>
          </w:p>
        </w:tc>
        <w:tc>
          <w:tcPr/>
          <w:p w:rsidR="00000000" w:rsidDel="00000000" w:rsidP="00000000" w:rsidRDefault="00000000" w:rsidRPr="00000000" w14:paraId="00000012">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Період надання послуг</w:t>
            </w:r>
          </w:p>
        </w:tc>
      </w:tr>
      <w:tr>
        <w:trPr>
          <w:cantSplit w:val="0"/>
          <w:trHeight w:val="1355" w:hRule="atLeast"/>
          <w:tblHeader w:val="0"/>
        </w:trPr>
        <w:tc>
          <w:tcPr>
            <w:vAlign w:val="center"/>
          </w:tcPr>
          <w:p w:rsidR="00000000" w:rsidDel="00000000" w:rsidP="00000000" w:rsidRDefault="00000000" w:rsidRPr="00000000" w14:paraId="00000013">
            <w:pPr>
              <w:widowControl w:val="0"/>
              <w:spacing w:after="20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Налагодження робочих відносин з ОГС, надання професійної експертизи та консультацій під час вступних заходів</w:t>
            </w:r>
            <w:r w:rsidDel="00000000" w:rsidR="00000000" w:rsidRPr="00000000">
              <w:rPr>
                <w:rtl w:val="0"/>
              </w:rPr>
            </w:r>
          </w:p>
        </w:tc>
        <w:tc>
          <w:tcPr/>
          <w:p w:rsidR="00000000" w:rsidDel="00000000" w:rsidP="00000000" w:rsidRDefault="00000000" w:rsidRPr="00000000" w14:paraId="00000014">
            <w:pPr>
              <w:widowControl w:val="0"/>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Ментор взяв участь в підготовці та проведенні вступних заходів для ОГС (2 події протягом реалізації проекту), де налагодив контакти з представниками запрошених ОГС. </w:t>
            </w:r>
          </w:p>
        </w:tc>
        <w:tc>
          <w:tcPr>
            <w:vAlign w:val="center"/>
          </w:tcPr>
          <w:p w:rsidR="00000000" w:rsidDel="00000000" w:rsidP="00000000" w:rsidRDefault="00000000" w:rsidRPr="00000000" w14:paraId="00000015">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Жовтень 2024/лютий 2025</w:t>
            </w:r>
          </w:p>
        </w:tc>
      </w:tr>
      <w:tr>
        <w:trPr>
          <w:cantSplit w:val="0"/>
          <w:trHeight w:val="1445" w:hRule="atLeast"/>
          <w:tblHeader w:val="0"/>
        </w:trPr>
        <w:tc>
          <w:tcPr>
            <w:vAlign w:val="center"/>
          </w:tcPr>
          <w:p w:rsidR="00000000" w:rsidDel="00000000" w:rsidP="00000000" w:rsidRDefault="00000000" w:rsidRPr="00000000" w14:paraId="0000001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Розробка індивідуальних графіків реалізації планів організаційного розвитку на основі оцінки та надання рекомендацій в партнерстві із залученими консультантами з оцінки та супровід їх реалізації.</w:t>
            </w:r>
          </w:p>
        </w:tc>
        <w:tc>
          <w:tcPr/>
          <w:p w:rsidR="00000000" w:rsidDel="00000000" w:rsidP="00000000" w:rsidRDefault="00000000" w:rsidRPr="00000000" w14:paraId="0000001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30 індивідуальних графіків реалізації планів організаційного розвитку.</w:t>
            </w:r>
          </w:p>
        </w:tc>
        <w:tc>
          <w:tcPr>
            <w:vAlign w:val="center"/>
          </w:tcPr>
          <w:p w:rsidR="00000000" w:rsidDel="00000000" w:rsidP="00000000" w:rsidRDefault="00000000" w:rsidRPr="00000000" w14:paraId="00000018">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 /березень 2025</w:t>
            </w:r>
          </w:p>
        </w:tc>
      </w:tr>
      <w:tr>
        <w:trPr>
          <w:cantSplit w:val="0"/>
          <w:trHeight w:val="1933" w:hRule="atLeast"/>
          <w:tblHeader w:val="0"/>
        </w:trPr>
        <w:tc>
          <w:tcPr>
            <w:vAlign w:val="center"/>
          </w:tcPr>
          <w:p w:rsidR="00000000" w:rsidDel="00000000" w:rsidP="00000000" w:rsidRDefault="00000000" w:rsidRPr="00000000" w14:paraId="00000019">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відбору зовнішніх тренерів з відповідним досвідом та знаннями для розробки навчальної програми та проведення онлайн-тренінгів відповідно до процедур Фонду.</w:t>
            </w:r>
          </w:p>
        </w:tc>
        <w:tc>
          <w:tcPr/>
          <w:p w:rsidR="00000000" w:rsidDel="00000000" w:rsidP="00000000" w:rsidRDefault="00000000" w:rsidRPr="00000000" w14:paraId="0000001A">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подано на відділ закупівель Фонду Технічні завдання та заявки на закупівлю послуг тренерів за темами (не менше 5)</w:t>
            </w:r>
          </w:p>
        </w:tc>
        <w:tc>
          <w:tcPr>
            <w:vAlign w:val="center"/>
          </w:tcPr>
          <w:p w:rsidR="00000000" w:rsidDel="00000000" w:rsidP="00000000" w:rsidRDefault="00000000" w:rsidRPr="00000000" w14:paraId="0000001B">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w:t>
            </w:r>
          </w:p>
        </w:tc>
      </w:tr>
      <w:tr>
        <w:trPr>
          <w:cantSplit w:val="0"/>
          <w:trHeight w:val="1066" w:hRule="atLeast"/>
          <w:tblHeader w:val="0"/>
        </w:trPr>
        <w:tc>
          <w:tcPr>
            <w:vAlign w:val="center"/>
          </w:tcPr>
          <w:p w:rsidR="00000000" w:rsidDel="00000000" w:rsidP="00000000" w:rsidRDefault="00000000" w:rsidRPr="00000000" w14:paraId="0000001C">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Узгодження із запрошеними тренерами змісту та структури навчальної програми. Контроль за наданням послуг залученими експертами.</w:t>
            </w:r>
          </w:p>
        </w:tc>
        <w:tc>
          <w:tcPr/>
          <w:p w:rsidR="00000000" w:rsidDel="00000000" w:rsidP="00000000" w:rsidRDefault="00000000" w:rsidRPr="00000000" w14:paraId="0000001D">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Узгоджено зміст та структура не менше 5 тренінгів.</w:t>
            </w:r>
          </w:p>
          <w:p w:rsidR="00000000" w:rsidDel="00000000" w:rsidP="00000000" w:rsidRDefault="00000000" w:rsidRPr="00000000" w14:paraId="0000001E">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супровід он-лайн тренінгів. Не менше 10 тренінгів. </w:t>
            </w:r>
          </w:p>
        </w:tc>
        <w:tc>
          <w:tcPr>
            <w:vAlign w:val="center"/>
          </w:tcPr>
          <w:p w:rsidR="00000000" w:rsidDel="00000000" w:rsidP="00000000" w:rsidRDefault="00000000" w:rsidRPr="00000000" w14:paraId="0000001F">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w:t>
            </w:r>
          </w:p>
        </w:tc>
      </w:tr>
      <w:tr>
        <w:trPr>
          <w:cantSplit w:val="0"/>
          <w:trHeight w:val="1355" w:hRule="atLeast"/>
          <w:tblHeader w:val="0"/>
        </w:trPr>
        <w:tc>
          <w:tcPr>
            <w:vAlign w:val="center"/>
          </w:tcPr>
          <w:p w:rsidR="00000000" w:rsidDel="00000000" w:rsidP="00000000" w:rsidRDefault="00000000" w:rsidRPr="00000000" w14:paraId="00000020">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відбору зовнішніх експертів для надання індивідуальних консультацій для ОГС. </w:t>
            </w:r>
          </w:p>
        </w:tc>
        <w:tc>
          <w:tcPr/>
          <w:p w:rsidR="00000000" w:rsidDel="00000000" w:rsidP="00000000" w:rsidRDefault="00000000" w:rsidRPr="00000000" w14:paraId="0000002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подано на відділ закупівель Фонду Технічні завдання та заявки на закупівлю послуг індивідуальних консультантів за темами (не менше 5)</w:t>
            </w:r>
          </w:p>
        </w:tc>
        <w:tc>
          <w:tcPr>
            <w:vAlign w:val="center"/>
          </w:tcPr>
          <w:p w:rsidR="00000000" w:rsidDel="00000000" w:rsidP="00000000" w:rsidRDefault="00000000" w:rsidRPr="00000000" w14:paraId="00000022">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w:t>
            </w:r>
          </w:p>
        </w:tc>
      </w:tr>
      <w:tr>
        <w:trPr>
          <w:cantSplit w:val="0"/>
          <w:trHeight w:val="1355" w:hRule="atLeast"/>
          <w:tblHeader w:val="0"/>
        </w:trPr>
        <w:tc>
          <w:tcPr>
            <w:vAlign w:val="center"/>
          </w:tcPr>
          <w:p w:rsidR="00000000" w:rsidDel="00000000" w:rsidP="00000000" w:rsidRDefault="00000000" w:rsidRPr="00000000" w14:paraId="00000023">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Узгодження змісту та структури консультацій. Контроль за наданням послуг залученими експертами.</w:t>
            </w:r>
          </w:p>
        </w:tc>
        <w:tc>
          <w:tcPr/>
          <w:p w:rsidR="00000000" w:rsidDel="00000000" w:rsidP="00000000" w:rsidRDefault="00000000" w:rsidRPr="00000000" w14:paraId="00000024">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Узгоджено зміст та структуру консультацій. </w:t>
            </w:r>
          </w:p>
          <w:p w:rsidR="00000000" w:rsidDel="00000000" w:rsidP="00000000" w:rsidRDefault="00000000" w:rsidRPr="00000000" w14:paraId="00000025">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супровід індивідуальних консультацій. Не менше 500 консультацій.</w:t>
            </w:r>
          </w:p>
        </w:tc>
        <w:tc>
          <w:tcPr>
            <w:vAlign w:val="center"/>
          </w:tcPr>
          <w:p w:rsidR="00000000" w:rsidDel="00000000" w:rsidP="00000000" w:rsidRDefault="00000000" w:rsidRPr="00000000" w14:paraId="0000002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w:t>
            </w:r>
          </w:p>
        </w:tc>
      </w:tr>
      <w:tr>
        <w:trPr>
          <w:cantSplit w:val="0"/>
          <w:trHeight w:val="2790" w:hRule="atLeast"/>
          <w:tblHeader w:val="0"/>
        </w:trPr>
        <w:tc>
          <w:tcPr>
            <w:vAlign w:val="center"/>
          </w:tcPr>
          <w:p w:rsidR="00000000" w:rsidDel="00000000" w:rsidP="00000000" w:rsidRDefault="00000000" w:rsidRPr="00000000" w14:paraId="0000002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Проведення моніторингових візитів в офіси організацій: налагодження партнерських відносин, інтерв’ю щодо тематики проекту, збір потреб щодо організаційного розвитку ГО, інтерв’ю з персоналом, отримання зворотного зв’язку щодо якості послуг тренерів та експертів тощо</w:t>
            </w:r>
          </w:p>
        </w:tc>
        <w:tc>
          <w:tcPr/>
          <w:p w:rsidR="00000000" w:rsidDel="00000000" w:rsidP="00000000" w:rsidRDefault="00000000" w:rsidRPr="00000000" w14:paraId="00000028">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Здійснено візити в офісі 30 ОГС – учасниць проекту, якщо візити дозволить безпекова ситуація.</w:t>
            </w:r>
          </w:p>
        </w:tc>
        <w:tc>
          <w:tcPr>
            <w:vAlign w:val="center"/>
          </w:tcPr>
          <w:p w:rsidR="00000000" w:rsidDel="00000000" w:rsidP="00000000" w:rsidRDefault="00000000" w:rsidRPr="00000000" w14:paraId="00000029">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 грудень 2024 /лютий – березень 2025</w:t>
            </w:r>
          </w:p>
        </w:tc>
      </w:tr>
      <w:tr>
        <w:trPr>
          <w:cantSplit w:val="0"/>
          <w:trHeight w:val="1933" w:hRule="atLeast"/>
          <w:tblHeader w:val="0"/>
        </w:trPr>
        <w:tc>
          <w:tcPr>
            <w:vAlign w:val="center"/>
          </w:tcPr>
          <w:p w:rsidR="00000000" w:rsidDel="00000000" w:rsidP="00000000" w:rsidRDefault="00000000" w:rsidRPr="00000000" w14:paraId="0000002A">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Менторський супровід локальних ГО на щоденній основі: ведення документації, адміністрування процесів, формування та контроль за дотриманням графіку консультації та тренінгів.</w:t>
            </w:r>
          </w:p>
        </w:tc>
        <w:tc>
          <w:tcPr/>
          <w:p w:rsidR="00000000" w:rsidDel="00000000" w:rsidP="00000000" w:rsidRDefault="00000000" w:rsidRPr="00000000" w14:paraId="0000002B">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менторських супровід 30 ОГС. Заповнено графік звернень від ОГС та процес досягнення результату. Графік сформовано по кожній із організацій. </w:t>
            </w:r>
          </w:p>
        </w:tc>
        <w:tc>
          <w:tcPr>
            <w:vAlign w:val="center"/>
          </w:tcPr>
          <w:p w:rsidR="00000000" w:rsidDel="00000000" w:rsidP="00000000" w:rsidRDefault="00000000" w:rsidRPr="00000000" w14:paraId="0000002C">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Жовтень 2024 – липень 2025</w:t>
            </w:r>
          </w:p>
        </w:tc>
      </w:tr>
      <w:tr>
        <w:trPr>
          <w:cantSplit w:val="0"/>
          <w:trHeight w:val="1355" w:hRule="atLeast"/>
          <w:tblHeader w:val="0"/>
        </w:trPr>
        <w:tc>
          <w:tcPr>
            <w:vAlign w:val="center"/>
          </w:tcPr>
          <w:p w:rsidR="00000000" w:rsidDel="00000000" w:rsidP="00000000" w:rsidRDefault="00000000" w:rsidRPr="00000000" w14:paraId="0000002D">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Участь у підготовці та проведенні оф-лайн заходів в рамках проекту (вступні сесії, 3-денний нетворкінговий захід та інші).</w:t>
            </w:r>
          </w:p>
        </w:tc>
        <w:tc>
          <w:tcPr/>
          <w:p w:rsidR="00000000" w:rsidDel="00000000" w:rsidP="00000000" w:rsidRDefault="00000000" w:rsidRPr="00000000" w14:paraId="0000002E">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Підготовлені та проведені оф-лайн події.</w:t>
            </w:r>
          </w:p>
        </w:tc>
        <w:tc>
          <w:tcPr>
            <w:vAlign w:val="center"/>
          </w:tcPr>
          <w:p w:rsidR="00000000" w:rsidDel="00000000" w:rsidP="00000000" w:rsidRDefault="00000000" w:rsidRPr="00000000" w14:paraId="0000002F">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Жовтень, листопад 2024/березень 2025</w:t>
            </w:r>
          </w:p>
        </w:tc>
      </w:tr>
      <w:tr>
        <w:trPr>
          <w:cantSplit w:val="0"/>
          <w:trHeight w:val="1644" w:hRule="atLeast"/>
          <w:tblHeader w:val="0"/>
        </w:trPr>
        <w:tc>
          <w:tcPr>
            <w:vAlign w:val="center"/>
          </w:tcPr>
          <w:p w:rsidR="00000000" w:rsidDel="00000000" w:rsidP="00000000" w:rsidRDefault="00000000" w:rsidRPr="00000000" w14:paraId="00000030">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методичних та навчальних продуктів для широкого використання (інформаційно-навчальні бюлетені, 20 виходів)</w:t>
            </w:r>
          </w:p>
        </w:tc>
        <w:tc>
          <w:tcPr/>
          <w:p w:rsidR="00000000" w:rsidDel="00000000" w:rsidP="00000000" w:rsidRDefault="00000000" w:rsidRPr="00000000" w14:paraId="00000031">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Підготовлено контент для 20 інформаційно-навчальний бюлетенів (орієнтовний формат А4, 4 аркуша)</w:t>
            </w:r>
          </w:p>
        </w:tc>
        <w:tc>
          <w:tcPr>
            <w:vAlign w:val="center"/>
          </w:tcPr>
          <w:p w:rsidR="00000000" w:rsidDel="00000000" w:rsidP="00000000" w:rsidRDefault="00000000" w:rsidRPr="00000000" w14:paraId="00000032">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Листопад 2024 – липень 2025</w:t>
            </w:r>
          </w:p>
        </w:tc>
      </w:tr>
      <w:tr>
        <w:trPr>
          <w:cantSplit w:val="0"/>
          <w:trHeight w:val="1644" w:hRule="atLeast"/>
          <w:tblHeader w:val="0"/>
        </w:trPr>
        <w:tc>
          <w:tcPr>
            <w:vAlign w:val="center"/>
          </w:tcPr>
          <w:p w:rsidR="00000000" w:rsidDel="00000000" w:rsidP="00000000" w:rsidRDefault="00000000" w:rsidRPr="00000000" w14:paraId="00000033">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посібника з організаційного розвитку за результатами матеріалів отриманих від консультантів, експертів та тренерів проекту. </w:t>
            </w:r>
          </w:p>
        </w:tc>
        <w:tc>
          <w:tcPr/>
          <w:p w:rsidR="00000000" w:rsidDel="00000000" w:rsidP="00000000" w:rsidRDefault="00000000" w:rsidRPr="00000000" w14:paraId="00000034">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Підготовлено контент для посібника з організаційного розвитку за результатами матеріалів отриманих від консультантів, експертів та тренерів проекту. Підготовлено 1 посібник з організаційного розвитку обсягом до 100 с. А4 формату</w:t>
            </w:r>
          </w:p>
        </w:tc>
        <w:tc>
          <w:tcPr>
            <w:vAlign w:val="center"/>
          </w:tcPr>
          <w:p w:rsidR="00000000" w:rsidDel="00000000" w:rsidP="00000000" w:rsidRDefault="00000000" w:rsidRPr="00000000" w14:paraId="00000035">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Травень  - червень 2025</w:t>
            </w:r>
          </w:p>
        </w:tc>
      </w:tr>
      <w:tr>
        <w:trPr>
          <w:cantSplit w:val="0"/>
          <w:trHeight w:val="1644" w:hRule="atLeast"/>
          <w:tblHeader w:val="0"/>
        </w:trPr>
        <w:tc>
          <w:tcPr>
            <w:vAlign w:val="center"/>
          </w:tcPr>
          <w:p w:rsidR="00000000" w:rsidDel="00000000" w:rsidP="00000000" w:rsidRDefault="00000000" w:rsidRPr="00000000" w14:paraId="00000036">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Підготовка фінального звіту за результатами проведеного менторського супроводу, аналіз уроків, які виникли в рамках реалізації проекту. </w:t>
            </w:r>
          </w:p>
        </w:tc>
        <w:tc>
          <w:tcPr/>
          <w:p w:rsidR="00000000" w:rsidDel="00000000" w:rsidP="00000000" w:rsidRDefault="00000000" w:rsidRPr="00000000" w14:paraId="00000037">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Підготовлений фінальний звіт за результатами проведеного менторського супроводу, аналіз уроків, які виникли в рамках реалізації проекту.</w:t>
            </w:r>
          </w:p>
        </w:tc>
        <w:tc>
          <w:tcPr>
            <w:vAlign w:val="center"/>
          </w:tcPr>
          <w:p w:rsidR="00000000" w:rsidDel="00000000" w:rsidP="00000000" w:rsidRDefault="00000000" w:rsidRPr="00000000" w14:paraId="00000038">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2025 </w:t>
            </w:r>
          </w:p>
        </w:tc>
      </w:tr>
      <w:tr>
        <w:trPr>
          <w:cantSplit w:val="0"/>
          <w:trHeight w:val="488" w:hRule="atLeast"/>
          <w:tblHeader w:val="0"/>
        </w:trPr>
        <w:tc>
          <w:tcPr>
            <w:vAlign w:val="center"/>
          </w:tcPr>
          <w:p w:rsidR="00000000" w:rsidDel="00000000" w:rsidP="00000000" w:rsidRDefault="00000000" w:rsidRPr="00000000" w14:paraId="00000039">
            <w:pPr>
              <w:widowControl w:val="0"/>
              <w:spacing w:after="200"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Загальна залученість Ментора, днів</w:t>
            </w:r>
          </w:p>
        </w:tc>
        <w:tc>
          <w:tcPr/>
          <w:p w:rsidR="00000000" w:rsidDel="00000000" w:rsidP="00000000" w:rsidRDefault="00000000" w:rsidRPr="00000000" w14:paraId="0000003A">
            <w:pPr>
              <w:widowControl w:val="0"/>
              <w:spacing w:after="200" w:lineRule="auto"/>
              <w:jc w:val="both"/>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03B">
            <w:pPr>
              <w:widowControl w:val="0"/>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 220</w:t>
            </w:r>
          </w:p>
        </w:tc>
      </w:tr>
    </w:tbl>
    <w:p w:rsidR="00000000" w:rsidDel="00000000" w:rsidP="00000000" w:rsidRDefault="00000000" w:rsidRPr="00000000" w14:paraId="0000003C">
      <w:pPr>
        <w:widowControl w:val="0"/>
        <w:spacing w:after="20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Звітність </w:t>
      </w:r>
    </w:p>
    <w:p w:rsidR="00000000" w:rsidDel="00000000" w:rsidP="00000000" w:rsidRDefault="00000000" w:rsidRPr="00000000" w14:paraId="0000003D">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Ментор подає табелі обліку робочого часу, описовий звіт за кожним із передбачених завдань, зразки розроблених матеріалів, які стали підставою для оплати за надані послуги, таблиці, реєстри та інші продукти. Всі матеріали розроблені в рамках реалізації проекту зберігаються на корпоративному диску.</w:t>
      </w:r>
    </w:p>
    <w:p w:rsidR="00000000" w:rsidDel="00000000" w:rsidP="00000000" w:rsidRDefault="00000000" w:rsidRPr="00000000" w14:paraId="0000003E">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консультантом в рамках проєкту, передані Фонду без обтяження щодо авторських прав.</w:t>
      </w:r>
    </w:p>
    <w:p w:rsidR="00000000" w:rsidDel="00000000" w:rsidP="00000000" w:rsidRDefault="00000000" w:rsidRPr="00000000" w14:paraId="0000003F">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 подається щомісячно або по факту надання послуг.</w:t>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3. Умови співпраці</w:t>
      </w:r>
    </w:p>
    <w:p w:rsidR="00000000" w:rsidDel="00000000" w:rsidP="00000000" w:rsidRDefault="00000000" w:rsidRPr="00000000" w14:paraId="00000041">
      <w:pPr>
        <w:spacing w:after="20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ФОП, який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w:t>
      </w:r>
      <w:r w:rsidDel="00000000" w:rsidR="00000000" w:rsidRPr="00000000">
        <w:rPr>
          <w:rFonts w:ascii="Times New Roman" w:cs="Times New Roman" w:eastAsia="Times New Roman" w:hAnsi="Times New Roman"/>
          <w:rtl w:val="0"/>
        </w:rPr>
        <w:t xml:space="preserve"> протягом 7 робочих днів з дати затвердження табелю робочого часу та надання рахунку.</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00" w:line="240" w:lineRule="auto"/>
        <w:ind w:firstLine="568"/>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4">
      <w:pPr>
        <w:spacing w:after="20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5">
      <w:pPr>
        <w:spacing w:after="20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та фіксується  табелями робочого часу. Попередній очікуваний об’єм послуг викладено в п. 1 даного оголошення про тендер.</w:t>
      </w:r>
      <w:r w:rsidDel="00000000" w:rsidR="00000000" w:rsidRPr="00000000">
        <w:rPr>
          <w:rtl w:val="0"/>
        </w:rPr>
      </w:r>
    </w:p>
    <w:p w:rsidR="00000000" w:rsidDel="00000000" w:rsidP="00000000" w:rsidRDefault="00000000" w:rsidRPr="00000000" w14:paraId="00000046">
      <w:pPr>
        <w:spacing w:after="20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Податки, збори або платежі Уряду України, Уряду Федеративної Республіки Німеччина та/або Урядам будь-яких інших країн сплачуються Консультантом відповідно до отриманої суми.</w:t>
      </w:r>
    </w:p>
    <w:p w:rsidR="00000000" w:rsidDel="00000000" w:rsidP="00000000" w:rsidRDefault="00000000" w:rsidRPr="00000000" w14:paraId="00000047">
      <w:pPr>
        <w:shd w:fill="ffffff" w:val="clea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Витрати на переміщення/ проживання компенсуються на підставі </w:t>
      </w:r>
      <w:r w:rsidDel="00000000" w:rsidR="00000000" w:rsidRPr="00000000">
        <w:rPr>
          <w:rFonts w:ascii="Times New Roman" w:cs="Times New Roman" w:eastAsia="Times New Roman" w:hAnsi="Times New Roman"/>
          <w:rtl w:val="0"/>
        </w:rPr>
        <w:t xml:space="preserve">належним чином оформлених та погоджених менеджером проекту підтверджуючих документів. Добові - не оплачуються.  </w:t>
      </w:r>
    </w:p>
    <w:p w:rsidR="00000000" w:rsidDel="00000000" w:rsidP="00000000" w:rsidRDefault="00000000" w:rsidRPr="00000000" w14:paraId="00000048">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Учасник немає бути 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49">
      <w:pPr>
        <w:spacing w:after="240" w:before="24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Учасник немає перебувати в процесі припинення діяльності ФОП.</w:t>
      </w:r>
    </w:p>
    <w:p w:rsidR="00000000" w:rsidDel="00000000" w:rsidP="00000000" w:rsidRDefault="00000000" w:rsidRPr="00000000" w14:paraId="0000004A">
      <w:pPr>
        <w:spacing w:after="20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p>
    <w:p w:rsidR="00000000" w:rsidDel="00000000" w:rsidP="00000000" w:rsidRDefault="00000000" w:rsidRPr="00000000" w14:paraId="0000004B">
      <w:pPr>
        <w:numPr>
          <w:ilvl w:val="0"/>
          <w:numId w:val="1"/>
        </w:numPr>
        <w:spacing w:after="200" w:line="276" w:lineRule="auto"/>
        <w:ind w:left="720" w:hanging="360"/>
        <w:jc w:val="both"/>
        <w:rPr>
          <w:rFonts w:ascii="Times New Roman" w:cs="Times New Roman" w:eastAsia="Times New Roman" w:hAnsi="Times New Roman"/>
          <w:b w:val="1"/>
        </w:rPr>
      </w:pPr>
      <w:bookmarkStart w:colFirst="0" w:colLast="0" w:name="_heading=h.30j0zll" w:id="0"/>
      <w:bookmarkEnd w:id="0"/>
      <w:r w:rsidDel="00000000" w:rsidR="00000000" w:rsidRPr="00000000">
        <w:rPr>
          <w:rFonts w:ascii="Times New Roman" w:cs="Times New Roman" w:eastAsia="Times New Roman" w:hAnsi="Times New Roman"/>
          <w:b w:val="1"/>
          <w:rtl w:val="0"/>
        </w:rPr>
        <w:t xml:space="preserve">Вимоги до подання пропозицій</w:t>
      </w:r>
    </w:p>
    <w:p w:rsidR="00000000" w:rsidDel="00000000" w:rsidP="00000000" w:rsidRDefault="00000000" w:rsidRPr="00000000" w14:paraId="0000004C">
      <w:pPr>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D">
      <w:pPr>
        <w:widowControl w:val="0"/>
        <w:spacing w:after="200" w:lineRule="auto"/>
        <w:jc w:val="both"/>
        <w:rPr>
          <w:rFonts w:ascii="Times New Roman" w:cs="Times New Roman" w:eastAsia="Times New Roman" w:hAnsi="Times New Roman"/>
        </w:rPr>
      </w:pPr>
      <w:bookmarkStart w:colFirst="0" w:colLast="0" w:name="_heading=h.gjdgxs" w:id="1"/>
      <w:bookmarkEnd w:id="1"/>
      <w:r w:rsidDel="00000000" w:rsidR="00000000" w:rsidRPr="00000000">
        <w:rPr>
          <w:rFonts w:ascii="Times New Roman" w:cs="Times New Roman" w:eastAsia="Times New Roman" w:hAnsi="Times New Roman"/>
          <w:rtl w:val="0"/>
        </w:rPr>
        <w:t xml:space="preserve">Просимо надати наступний пакет документів, який буде містити::</w:t>
      </w:r>
    </w:p>
    <w:p w:rsidR="00000000" w:rsidDel="00000000" w:rsidP="00000000" w:rsidRDefault="00000000" w:rsidRPr="00000000" w14:paraId="0000004E">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Контактну інформацію виконавця;</w:t>
      </w:r>
    </w:p>
    <w:p w:rsidR="00000000" w:rsidDel="00000000" w:rsidP="00000000" w:rsidRDefault="00000000" w:rsidRPr="00000000" w14:paraId="0000004F">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CV з детальним описом релевантного досвіду за останні 5 років; </w:t>
      </w:r>
    </w:p>
    <w:p w:rsidR="00000000" w:rsidDel="00000000" w:rsidP="00000000" w:rsidRDefault="00000000" w:rsidRPr="00000000" w14:paraId="00000050">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Зразки розроблених методичних матеріалів (методологій, карток оцінки, звітів, рекомендацій, програм тренінгів, бюлетенів, посібників тощо), менторських, тренінгових програм. Подавати в форматі pdf, word, excel, Power Point чи інших форматах, які доступні для загального перегляду. До розгляду приймаються також матеріали, де учасник був співавтором, випусковим редактором, рецензентом;</w:t>
      </w:r>
    </w:p>
    <w:p w:rsidR="00000000" w:rsidDel="00000000" w:rsidP="00000000" w:rsidRDefault="00000000" w:rsidRPr="00000000" w14:paraId="00000051">
      <w:pPr>
        <w:widowControl w:val="0"/>
        <w:numPr>
          <w:ilvl w:val="0"/>
          <w:numId w:val="2"/>
        </w:numPr>
        <w:spacing w:after="20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 </w:t>
      </w:r>
    </w:p>
    <w:p w:rsidR="00000000" w:rsidDel="00000000" w:rsidP="00000000" w:rsidRDefault="00000000" w:rsidRPr="00000000" w14:paraId="0000005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86" w:line="259" w:lineRule="auto"/>
        <w:ind w:left="720" w:right="0" w:hanging="360"/>
        <w:jc w:val="both"/>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Підведення підсумків конкурсу</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240" w:lineRule="auto"/>
        <w:ind w:left="112" w:firstLine="568"/>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tbl>
      <w:tblPr>
        <w:tblStyle w:val="Table2"/>
        <w:tblW w:w="99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3480"/>
        <w:gridCol w:w="990"/>
        <w:gridCol w:w="3540"/>
        <w:gridCol w:w="1410"/>
        <w:tblGridChange w:id="0">
          <w:tblGrid>
            <w:gridCol w:w="480"/>
            <w:gridCol w:w="3480"/>
            <w:gridCol w:w="990"/>
            <w:gridCol w:w="3540"/>
            <w:gridCol w:w="1410"/>
          </w:tblGrid>
        </w:tblGridChange>
      </w:tblGrid>
      <w:tr>
        <w:trPr>
          <w:cantSplit w:val="0"/>
          <w:trHeight w:val="20" w:hRule="atLeast"/>
          <w:tblHeader w:val="0"/>
        </w:trPr>
        <w:tc>
          <w:tcPr>
            <w:gridSpan w:val="5"/>
            <w:shd w:fill="dbe5f1" w:val="clear"/>
            <w:tcMar>
              <w:top w:w="0.0" w:type="dxa"/>
              <w:left w:w="45.0" w:type="dxa"/>
              <w:bottom w:w="0.0" w:type="dxa"/>
              <w:right w:w="45.0" w:type="dxa"/>
            </w:tcMar>
            <w:vAlign w:val="center"/>
          </w:tcPr>
          <w:p w:rsidR="00000000" w:rsidDel="00000000" w:rsidP="00000000" w:rsidRDefault="00000000" w:rsidRPr="00000000" w14:paraId="00000054">
            <w:pPr>
              <w:spacing w:after="20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ШКАЛА ОЦІНКИ ТЕХНІЧНИХ ВИМОГ </w:t>
            </w:r>
          </w:p>
        </w:tc>
      </w:tr>
      <w:tr>
        <w:trPr>
          <w:cantSplit w:val="0"/>
          <w:trHeight w:val="506"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59">
            <w:pPr>
              <w:spacing w:after="200" w:lineRule="auto"/>
              <w:jc w:val="both"/>
              <w:rPr>
                <w:rFonts w:ascii="Times New Roman" w:cs="Times New Roman" w:eastAsia="Times New Roman" w:hAnsi="Times New Roman"/>
              </w:rPr>
            </w:pPr>
            <w:r w:rsidDel="00000000" w:rsidR="00000000" w:rsidRPr="00000000">
              <w:rPr>
                <w:rtl w:val="0"/>
              </w:rPr>
            </w:r>
          </w:p>
        </w:tc>
        <w:tc>
          <w:tcPr>
            <w:shd w:fill="dbe5f1" w:val="clear"/>
            <w:tcMar>
              <w:top w:w="0.0" w:type="dxa"/>
              <w:left w:w="45.0" w:type="dxa"/>
              <w:bottom w:w="0.0" w:type="dxa"/>
              <w:right w:w="45.0" w:type="dxa"/>
            </w:tcMar>
            <w:vAlign w:val="center"/>
          </w:tcPr>
          <w:p w:rsidR="00000000" w:rsidDel="00000000" w:rsidP="00000000" w:rsidRDefault="00000000" w:rsidRPr="00000000" w14:paraId="0000005A">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Відповідність технічним вимогам</w:t>
            </w:r>
          </w:p>
        </w:tc>
        <w:tc>
          <w:tcPr>
            <w:shd w:fill="dbe5f1" w:val="clear"/>
            <w:tcMar>
              <w:top w:w="0.0" w:type="dxa"/>
              <w:left w:w="45.0" w:type="dxa"/>
              <w:bottom w:w="0.0" w:type="dxa"/>
              <w:right w:w="45.0" w:type="dxa"/>
            </w:tcMar>
            <w:vAlign w:val="center"/>
          </w:tcPr>
          <w:p w:rsidR="00000000" w:rsidDel="00000000" w:rsidP="00000000" w:rsidRDefault="00000000" w:rsidRPr="00000000" w14:paraId="0000005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Вага критерію</w:t>
            </w:r>
          </w:p>
        </w:tc>
        <w:tc>
          <w:tcPr>
            <w:shd w:fill="dbe5f1" w:val="clear"/>
            <w:vAlign w:val="center"/>
          </w:tcPr>
          <w:p w:rsidR="00000000" w:rsidDel="00000000" w:rsidP="00000000" w:rsidRDefault="00000000" w:rsidRPr="00000000" w14:paraId="0000005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5D">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 за вимогою</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5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Виконавець повинен мати вищу освіту.</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найкращим та допустимим сценарієм, очікується наявність у Виконавця вищої освіти не нижче рівня бакалавр у сферах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br w:type="textWrapping"/>
            </w:r>
          </w:p>
        </w:tc>
        <w:tc>
          <w:tcPr>
            <w:tcMar>
              <w:top w:w="0.0" w:type="dxa"/>
              <w:left w:w="45.0" w:type="dxa"/>
              <w:bottom w:w="0.0" w:type="dxa"/>
              <w:right w:w="45.0" w:type="dxa"/>
            </w:tcMar>
            <w:vAlign w:val="center"/>
          </w:tcPr>
          <w:p w:rsidR="00000000" w:rsidDel="00000000" w:rsidP="00000000" w:rsidRDefault="00000000" w:rsidRPr="00000000" w14:paraId="00000061">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vAlign w:val="center"/>
          </w:tcPr>
          <w:p w:rsidR="00000000" w:rsidDel="00000000" w:rsidP="00000000" w:rsidRDefault="00000000" w:rsidRPr="00000000" w14:paraId="0000006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Доктор наук (Dr.hab),  Кандидат наук (PhD) у сферах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br w:type="textWrapping"/>
              <w:t xml:space="preserve">4 балів: Магістр, Спеціаліст у зазначених вище напрямках.</w:t>
              <w:br w:type="textWrapping"/>
              <w:t xml:space="preserve">1 бали: Бакалавр у зазначених вище напрямках.</w:t>
              <w:br w:type="textWrapping"/>
              <w:t xml:space="preserve">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Mar>
              <w:top w:w="0.0" w:type="dxa"/>
              <w:left w:w="45.0" w:type="dxa"/>
              <w:bottom w:w="0.0" w:type="dxa"/>
              <w:right w:w="45.0" w:type="dxa"/>
            </w:tcMar>
            <w:vAlign w:val="center"/>
          </w:tcPr>
          <w:p w:rsidR="00000000" w:rsidDel="00000000" w:rsidP="00000000" w:rsidRDefault="00000000" w:rsidRPr="00000000" w14:paraId="0000006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Mar>
              <w:top w:w="0.0" w:type="dxa"/>
              <w:left w:w="45.0" w:type="dxa"/>
              <w:bottom w:w="0.0" w:type="dxa"/>
              <w:right w:w="45.0" w:type="dxa"/>
            </w:tcMar>
            <w:vAlign w:val="center"/>
          </w:tcPr>
          <w:p w:rsidR="00000000" w:rsidDel="00000000" w:rsidP="00000000" w:rsidRDefault="00000000" w:rsidRPr="00000000" w14:paraId="0000006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6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2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5 років.</w:t>
              <w:br w:type="textWrapping"/>
              <w:br w:type="textWrapping"/>
              <w:t xml:space="preserve">1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br w:type="textWrapping"/>
              <w:br w:type="textWrapping"/>
              <w:t xml:space="preserve">0 балів: Не надано резюме або досвід не є релевантним до сфери та завдань проєкту.</w:t>
            </w:r>
          </w:p>
        </w:tc>
        <w:tc>
          <w:tcPr>
            <w:tcMar>
              <w:top w:w="0.0" w:type="dxa"/>
              <w:left w:w="45.0" w:type="dxa"/>
              <w:bottom w:w="0.0" w:type="dxa"/>
              <w:right w:w="45.0" w:type="dxa"/>
            </w:tcMar>
            <w:vAlign w:val="center"/>
          </w:tcPr>
          <w:p w:rsidR="00000000" w:rsidDel="00000000" w:rsidP="00000000" w:rsidRDefault="00000000" w:rsidRPr="00000000" w14:paraId="00000068">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6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6A">
            <w:pPr>
              <w:widowControl w:val="0"/>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має подати зразки розроблених методичних матеріалів (методологій, карток оцінки, звітів, рекомендацій, програм тренінгів, бюлетенів, посібників тощо), менторських, тренінгових програм.</w:t>
            </w:r>
          </w:p>
        </w:tc>
        <w:tc>
          <w:tcPr>
            <w:tcMar>
              <w:top w:w="0.0" w:type="dxa"/>
              <w:left w:w="45.0" w:type="dxa"/>
              <w:bottom w:w="0.0" w:type="dxa"/>
              <w:right w:w="45.0" w:type="dxa"/>
            </w:tcMar>
            <w:vAlign w:val="center"/>
          </w:tcPr>
          <w:p w:rsidR="00000000" w:rsidDel="00000000" w:rsidP="00000000" w:rsidRDefault="00000000" w:rsidRPr="00000000" w14:paraId="0000006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vAlign w:val="center"/>
          </w:tcPr>
          <w:p w:rsidR="00000000" w:rsidDel="00000000" w:rsidP="00000000" w:rsidRDefault="00000000" w:rsidRPr="00000000" w14:paraId="0000006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 надані матеріали відображають досвід Ментора за темою проєкту.</w:t>
            </w:r>
          </w:p>
          <w:p w:rsidR="00000000" w:rsidDel="00000000" w:rsidP="00000000" w:rsidRDefault="00000000" w:rsidRPr="00000000" w14:paraId="0000006D">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балів - надані матеріали не стосуються теми проєкту, проте демонструють вміння Ментора виконувати подібні завдання. </w:t>
            </w:r>
          </w:p>
          <w:p w:rsidR="00000000" w:rsidDel="00000000" w:rsidP="00000000" w:rsidRDefault="00000000" w:rsidRPr="00000000" w14:paraId="0000006E">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не подано.</w:t>
            </w:r>
          </w:p>
        </w:tc>
        <w:tc>
          <w:tcPr>
            <w:tcMar>
              <w:top w:w="0.0" w:type="dxa"/>
              <w:left w:w="45.0" w:type="dxa"/>
              <w:bottom w:w="0.0" w:type="dxa"/>
              <w:right w:w="45.0" w:type="dxa"/>
            </w:tcMar>
            <w:vAlign w:val="center"/>
          </w:tcPr>
          <w:p w:rsidR="00000000" w:rsidDel="00000000" w:rsidP="00000000" w:rsidRDefault="00000000" w:rsidRPr="00000000" w14:paraId="0000006F">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0">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cccccc" w:space="0" w:sz="8" w:val="single"/>
              <w:left w:color="000000" w:space="0" w:sz="8" w:val="single"/>
              <w:bottom w:color="cccccc"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взяв участь в інтерв'ю (співбесіді)</w:t>
            </w:r>
          </w:p>
        </w:tc>
        <w:tc>
          <w:tcPr>
            <w:tcMar>
              <w:top w:w="0.0" w:type="dxa"/>
              <w:left w:w="45.0" w:type="dxa"/>
              <w:bottom w:w="0.0" w:type="dxa"/>
              <w:right w:w="45.0" w:type="dxa"/>
            </w:tcMar>
            <w:vAlign w:val="center"/>
          </w:tcPr>
          <w:p w:rsidR="00000000" w:rsidDel="00000000" w:rsidP="00000000" w:rsidRDefault="00000000" w:rsidRPr="00000000" w14:paraId="00000072">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vAlign w:val="center"/>
          </w:tcPr>
          <w:p w:rsidR="00000000" w:rsidDel="00000000" w:rsidP="00000000" w:rsidRDefault="00000000" w:rsidRPr="00000000" w14:paraId="0000007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учасник вчасно долучився до зустрічі, ознайомлений із предметом тендерного оголошення, чітко дає відповіді на питання щодо досвіду роботи з ОГС, досвіду розробки методичних матеріалів, рекомендацій, роботи з даними  тощо. Учасник володіє навичками публічного спілкування, мова без слів паразитів, образливих тверджень тощо.</w:t>
            </w:r>
          </w:p>
          <w:p w:rsidR="00000000" w:rsidDel="00000000" w:rsidP="00000000" w:rsidRDefault="00000000" w:rsidRPr="00000000" w14:paraId="00000074">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балів - учасник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Учасник не володіє навичками публічного спілкування, мова насичена словами паразитами, образливими твердженнями, непристойними жартами тощо.</w:t>
            </w:r>
          </w:p>
          <w:p w:rsidR="00000000" w:rsidDel="00000000" w:rsidP="00000000" w:rsidRDefault="00000000" w:rsidRPr="00000000" w14:paraId="00000075">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учасник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76">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r>
      <w:tr>
        <w:trPr>
          <w:cantSplit w:val="0"/>
          <w:trHeight w:val="20" w:hRule="atLeast"/>
          <w:tblHeader w:val="0"/>
        </w:trPr>
        <w:tc>
          <w:tcPr>
            <w:tcMar>
              <w:top w:w="0.0" w:type="dxa"/>
              <w:left w:w="45.0" w:type="dxa"/>
              <w:bottom w:w="0.0" w:type="dxa"/>
              <w:right w:w="45.0" w:type="dxa"/>
            </w:tcMar>
            <w:vAlign w:val="center"/>
          </w:tcPr>
          <w:p w:rsidR="00000000" w:rsidDel="00000000" w:rsidP="00000000" w:rsidRDefault="00000000" w:rsidRPr="00000000" w14:paraId="00000077">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має досвід роботи в громадському секторі в якості керівника організації, проектного менеджера, методолога, менеджера освітніх програм, тренера тощо </w:t>
            </w:r>
          </w:p>
        </w:tc>
        <w:tc>
          <w:tcPr>
            <w:tcMar>
              <w:top w:w="0.0" w:type="dxa"/>
              <w:left w:w="45.0" w:type="dxa"/>
              <w:bottom w:w="0.0" w:type="dxa"/>
              <w:right w:w="45.0" w:type="dxa"/>
            </w:tcMar>
            <w:vAlign w:val="center"/>
          </w:tcPr>
          <w:p w:rsidR="00000000" w:rsidDel="00000000" w:rsidP="00000000" w:rsidRDefault="00000000" w:rsidRPr="00000000" w14:paraId="00000079">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vAlign w:val="center"/>
          </w:tcPr>
          <w:p w:rsidR="00000000" w:rsidDel="00000000" w:rsidP="00000000" w:rsidRDefault="00000000" w:rsidRPr="00000000" w14:paraId="0000007A">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балів – учасник має досвід роботи в громадському секторі понад 5 років в якості керівника організації, проектного менеджера, методолога, менеджера освітніх програм, тренера тощо</w:t>
            </w:r>
          </w:p>
          <w:p w:rsidR="00000000" w:rsidDel="00000000" w:rsidP="00000000" w:rsidRDefault="00000000" w:rsidRPr="00000000" w14:paraId="0000007B">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балів - учасник має досвід роботи в громадському секторі понад 2 роки в якості керівника організації, проектного менеджера, методолога, менеджера освітніх програм, тренера тощо, а до того працював на подібних позиція в бізнесі, освіті, публічному управлінні.</w:t>
            </w:r>
          </w:p>
          <w:p w:rsidR="00000000" w:rsidDel="00000000" w:rsidP="00000000" w:rsidRDefault="00000000" w:rsidRPr="00000000" w14:paraId="0000007C">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учасник не працював в/з ОГС і не займав вищевказаних посад.</w:t>
            </w:r>
          </w:p>
        </w:tc>
        <w:tc>
          <w:tcPr>
            <w:tcMar>
              <w:top w:w="0.0" w:type="dxa"/>
              <w:left w:w="45.0" w:type="dxa"/>
              <w:bottom w:w="0.0" w:type="dxa"/>
              <w:right w:w="45.0" w:type="dxa"/>
            </w:tcMar>
            <w:vAlign w:val="center"/>
          </w:tcPr>
          <w:p w:rsidR="00000000" w:rsidDel="00000000" w:rsidP="00000000" w:rsidRDefault="00000000" w:rsidRPr="00000000" w14:paraId="0000007D">
            <w:pPr>
              <w:spacing w:after="200" w:lineRule="auto"/>
              <w:jc w:val="both"/>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 12</w:t>
            </w:r>
          </w:p>
        </w:tc>
      </w:tr>
    </w:tbl>
    <w:p w:rsidR="00000000" w:rsidDel="00000000" w:rsidP="00000000" w:rsidRDefault="00000000" w:rsidRPr="00000000" w14:paraId="0000007E">
      <w:pPr>
        <w:spacing w:after="200" w:lineRule="auto"/>
        <w:ind w:firstLine="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20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spacing w:after="200" w:lineRule="auto"/>
        <w:ind w:firstLine="720"/>
        <w:jc w:val="both"/>
        <w:rPr>
          <w:rFonts w:ascii="Times New Roman" w:cs="Times New Roman" w:eastAsia="Times New Roman" w:hAnsi="Times New Roman"/>
        </w:rPr>
      </w:pPr>
      <w:r w:rsidDel="00000000" w:rsidR="00000000" w:rsidRPr="00000000">
        <w:rPr>
          <w:rtl w:val="0"/>
        </w:rPr>
      </w:r>
    </w:p>
    <w:sectPr>
      <w:headerReference r:id="rId7"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6292850" cy="8191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92850" cy="819150"/>
                  </a:xfrm>
                  <a:prstGeom prst="rect"/>
                  <a:ln/>
                </pic:spPr>
              </pic:pic>
            </a:graphicData>
          </a:graphic>
        </wp:inline>
      </w:drawing>
    </w: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1"/>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c1YirQVyvT5IxBM8y8e4PuIBg==">CgMxLjAyCWguMzBqMHpsbDIIaC5namRneHMyCWguMWZvYjl0ZTgAciExNzczYzVCSWZiaTR5THpNNkR1Mm9vRHp4MF9KWExsc0U=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