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34"/>
        </w:tabs>
        <w:spacing w:line="240" w:lineRule="auto"/>
        <w:ind w:left="-566"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rtl w:val="0"/>
        </w:rPr>
        <w:t xml:space="preserve">ЛОТ 1 Технічне завдання для закупівлі послуги менторингу у сфері адвокації</w:t>
      </w:r>
      <w:r w:rsidDel="00000000" w:rsidR="00000000" w:rsidRPr="00000000">
        <w:rPr>
          <w:rtl w:val="0"/>
        </w:rPr>
      </w:r>
    </w:p>
    <w:p w:rsidR="00000000" w:rsidDel="00000000" w:rsidP="00000000" w:rsidRDefault="00000000" w:rsidRPr="00000000" w14:paraId="00000002">
      <w:pPr>
        <w:tabs>
          <w:tab w:val="left" w:leader="none" w:pos="1134"/>
        </w:tabs>
        <w:spacing w:line="240" w:lineRule="auto"/>
        <w:ind w:left="-566"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Загальна інформація</w:t>
      </w:r>
      <w:r w:rsidDel="00000000" w:rsidR="00000000" w:rsidRPr="00000000">
        <w:rPr>
          <w:rFonts w:ascii="Times New Roman" w:cs="Times New Roman" w:eastAsia="Times New Roman" w:hAnsi="Times New Roman"/>
          <w:rtl w:val="0"/>
        </w:rPr>
        <w:t xml:space="preserve"> БФ “Право на захист” (Фонд) - благодійна організація, що зосереджує свою діяльність на наданні допомоги внутрішньо переміщеним особам (ВПО), людям постраждалим від воєнних дій, біженцям та особам без громадянства. Фонд є виконавчим партнером УВКБ ООН і здійснює моніторинг ситуації захисту прав ВПО, надаючи правову допомогу та посилюючи гуманітарну відповідь у 22 областях України, а також сприяє змінам в національній правовій базі, приведення її у відповідність до міжнародних стандартів в галузі прав людини</w:t>
      </w:r>
    </w:p>
    <w:p w:rsidR="00000000" w:rsidDel="00000000" w:rsidP="00000000" w:rsidRDefault="00000000" w:rsidRPr="00000000" w14:paraId="0000000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Одним з головних напрямків роботи БФ “Право на захист” є запобігання вчиненню гендерно зумовленого (ГЗН), домашнього насильства, а також захисту жінок та дітей,  постраждалих від ГЗН, домашнього насильства. З цією метою Фонд підтримує діяльність Безпечних просторів для жінок та дітей на рівні громад через впровадження менторської програми у рамках проєкту «Комплексна відповідь у сфері захисту, охорони здоров’я та надзвичайного реагування для громад, які перебувають у зоні ризику, у Дніпропетровській та Харківській областях» за фінансування Italian Cooperation."</w:t>
      </w:r>
    </w:p>
    <w:p w:rsidR="00000000" w:rsidDel="00000000" w:rsidP="00000000" w:rsidRDefault="00000000" w:rsidRPr="00000000" w14:paraId="00000006">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Програма менторства для громад (на основі існуючих безпечних просторів для жінок та дітей) – це цілісна підтримка Безпечних просторів для жінок та дівчат (БПЖД) у цільових областях/громадах на їхньому шляху до самостійної, активної та ефективної роботи.</w:t>
      </w:r>
    </w:p>
    <w:p w:rsidR="00000000" w:rsidDel="00000000" w:rsidP="00000000" w:rsidRDefault="00000000" w:rsidRPr="00000000" w14:paraId="00000008">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widowControl w:val="0"/>
        <w:tabs>
          <w:tab w:val="left" w:leader="none" w:pos="1134"/>
        </w:tabs>
        <w:spacing w:after="200" w:line="12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Послуга, яка закуповується: </w:t>
      </w:r>
      <w:r w:rsidDel="00000000" w:rsidR="00000000" w:rsidRPr="00000000">
        <w:rPr>
          <w:rFonts w:ascii="Times New Roman" w:cs="Times New Roman" w:eastAsia="Times New Roman" w:hAnsi="Times New Roman"/>
          <w:highlight w:val="white"/>
          <w:rtl w:val="0"/>
        </w:rPr>
        <w:t xml:space="preserve">менторинг у сфері </w:t>
      </w:r>
      <w:r w:rsidDel="00000000" w:rsidR="00000000" w:rsidRPr="00000000">
        <w:rPr>
          <w:rFonts w:ascii="Times New Roman" w:cs="Times New Roman" w:eastAsia="Times New Roman" w:hAnsi="Times New Roman"/>
          <w:rtl w:val="0"/>
        </w:rPr>
        <w:t xml:space="preserve">адвокації для Безпечних просторів для жінок та дітей</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0A">
      <w:pPr>
        <w:widowControl w:val="0"/>
        <w:tabs>
          <w:tab w:val="left" w:leader="none" w:pos="1134"/>
        </w:tabs>
        <w:spacing w:after="200" w:lin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Формат надання послуг</w:t>
      </w:r>
      <w:r w:rsidDel="00000000" w:rsidR="00000000" w:rsidRPr="00000000">
        <w:rPr>
          <w:rFonts w:ascii="Times New Roman" w:cs="Times New Roman" w:eastAsia="Times New Roman" w:hAnsi="Times New Roman"/>
          <w:rtl w:val="0"/>
        </w:rPr>
        <w:t xml:space="preserve">: онлайн.</w:t>
      </w:r>
    </w:p>
    <w:p w:rsidR="00000000" w:rsidDel="00000000" w:rsidP="00000000" w:rsidRDefault="00000000" w:rsidRPr="00000000" w14:paraId="0000000B">
      <w:pPr>
        <w:widowControl w:val="0"/>
        <w:tabs>
          <w:tab w:val="left" w:leader="none" w:pos="1134"/>
        </w:tabs>
        <w:spacing w:after="200" w:lin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Період надання послуг: </w:t>
      </w:r>
      <w:r w:rsidDel="00000000" w:rsidR="00000000" w:rsidRPr="00000000">
        <w:rPr>
          <w:rFonts w:ascii="Times New Roman" w:cs="Times New Roman" w:eastAsia="Times New Roman" w:hAnsi="Times New Roman"/>
          <w:rtl w:val="0"/>
        </w:rPr>
        <w:t xml:space="preserve">квітень - серпень 2026 року.</w:t>
      </w:r>
    </w:p>
    <w:p w:rsidR="00000000" w:rsidDel="00000000" w:rsidP="00000000" w:rsidRDefault="00000000" w:rsidRPr="00000000" w14:paraId="0000000C">
      <w:pPr>
        <w:widowControl w:val="0"/>
        <w:tabs>
          <w:tab w:val="left" w:leader="none" w:pos="1134"/>
        </w:tabs>
        <w:spacing w:after="200" w:lin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проекту: </w:t>
      </w:r>
      <w:r w:rsidDel="00000000" w:rsidR="00000000" w:rsidRPr="00000000">
        <w:rPr>
          <w:rFonts w:ascii="Times New Roman" w:cs="Times New Roman" w:eastAsia="Times New Roman" w:hAnsi="Times New Roman"/>
          <w:rtl w:val="0"/>
        </w:rPr>
        <w:t xml:space="preserve">Харківська та Дніпропетровська області.</w:t>
      </w:r>
    </w:p>
    <w:p w:rsidR="00000000" w:rsidDel="00000000" w:rsidP="00000000" w:rsidRDefault="00000000" w:rsidRPr="00000000" w14:paraId="0000000D">
      <w:pPr>
        <w:widowControl w:val="0"/>
        <w:tabs>
          <w:tab w:val="left" w:leader="none" w:pos="1134"/>
        </w:tabs>
        <w:spacing w:after="200" w:lin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1 переможця.</w:t>
      </w:r>
    </w:p>
    <w:p w:rsidR="00000000" w:rsidDel="00000000" w:rsidP="00000000" w:rsidRDefault="00000000" w:rsidRPr="00000000" w14:paraId="0000000E">
      <w:pPr>
        <w:widowControl w:val="0"/>
        <w:tabs>
          <w:tab w:val="left" w:leader="none" w:pos="1134"/>
        </w:tabs>
        <w:spacing w:after="200" w:lin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Безпечних просторів для роботи:</w:t>
      </w:r>
      <w:r w:rsidDel="00000000" w:rsidR="00000000" w:rsidRPr="00000000">
        <w:rPr>
          <w:rFonts w:ascii="Times New Roman" w:cs="Times New Roman" w:eastAsia="Times New Roman" w:hAnsi="Times New Roman"/>
          <w:rtl w:val="0"/>
        </w:rPr>
        <w:t xml:space="preserve"> менторинг охоплює 10 БПЖД.</w:t>
      </w:r>
    </w:p>
    <w:p w:rsidR="00000000" w:rsidDel="00000000" w:rsidP="00000000" w:rsidRDefault="00000000" w:rsidRPr="00000000" w14:paraId="0000000F">
      <w:pPr>
        <w:widowControl w:val="0"/>
        <w:tabs>
          <w:tab w:val="left" w:leader="none" w:pos="1134"/>
        </w:tabs>
        <w:spacing w:after="200" w:lin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Тривалість  менторингу: орієнтовно 4 год для 1 БПЖД</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tabs>
          <w:tab w:val="left" w:leader="none" w:pos="1134"/>
        </w:tabs>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Обсяг часу на уточнення запиту, підготовку до зустрічей та звітування залучений надавач послуг визначає самостійно. Вартість цих послуг має бути включена в сукупну ціну за надання послуги.</w:t>
      </w:r>
    </w:p>
    <w:p w:rsidR="00000000" w:rsidDel="00000000" w:rsidP="00000000" w:rsidRDefault="00000000" w:rsidRPr="00000000" w14:paraId="00000011">
      <w:pPr>
        <w:tabs>
          <w:tab w:val="left" w:leader="none" w:pos="1134"/>
        </w:tabs>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Детальний перелік завдань вказаний у п.1 Технічне завдання в рамках надання послуг.</w:t>
      </w:r>
    </w:p>
    <w:p w:rsidR="00000000" w:rsidDel="00000000" w:rsidP="00000000" w:rsidRDefault="00000000" w:rsidRPr="00000000" w14:paraId="00000012">
      <w:pPr>
        <w:numPr>
          <w:ilvl w:val="0"/>
          <w:numId w:val="1"/>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Технічне завдання в рамках надання послуг ЛОТ 1:</w:t>
      </w:r>
      <w:r w:rsidDel="00000000" w:rsidR="00000000" w:rsidRPr="00000000">
        <w:rPr>
          <w:rtl w:val="0"/>
        </w:rPr>
      </w:r>
    </w:p>
    <w:tbl>
      <w:tblPr>
        <w:tblStyle w:val="Table1"/>
        <w:tblW w:w="976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1905"/>
        <w:gridCol w:w="2655"/>
        <w:gridCol w:w="3045"/>
        <w:gridCol w:w="1635"/>
        <w:tblGridChange w:id="0">
          <w:tblGrid>
            <w:gridCol w:w="525"/>
            <w:gridCol w:w="1905"/>
            <w:gridCol w:w="2655"/>
            <w:gridCol w:w="3045"/>
            <w:gridCol w:w="1635"/>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3">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4">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Завдання</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5">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Технічні характеристики кінцевого продукту</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6">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Результат</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7">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Період надання послуг</w:t>
            </w:r>
          </w:p>
        </w:tc>
      </w:tr>
      <w:tr>
        <w:trPr>
          <w:cantSplit w:val="0"/>
          <w:trHeight w:val="1499.62646484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8">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9">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індивідуальні плани менторингу для кожного окремого БПЖД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A">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планом та графіком менторингу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0" w:before="24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план та графік менторингу з зазначення уточненого запиту, кроків та очікуваних результатів.</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за 7 днів до початку надання послуги</w:t>
            </w:r>
          </w:p>
        </w:tc>
      </w:tr>
      <w:tr>
        <w:trPr>
          <w:cantSplit w:val="0"/>
          <w:trHeight w:val="19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E">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послуги менторингу для 10 БПЖД</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F">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зазначенням дат зустрічей та результатів від кожної з зустрічей, з переліком учасників та інше (форма буде надана додатково)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0">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Підсилення кожного з 10 БПЖД у сфері адвокації</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квітень -  - серпень 2026 року</w:t>
            </w:r>
          </w:p>
        </w:tc>
      </w:tr>
    </w:tbl>
    <w:p w:rsidR="00000000" w:rsidDel="00000000" w:rsidP="00000000" w:rsidRDefault="00000000" w:rsidRPr="00000000" w14:paraId="00000022">
      <w:pPr>
        <w:tabs>
          <w:tab w:val="left" w:leader="none" w:pos="1134"/>
        </w:tabs>
        <w:spacing w:after="200" w:line="256" w:lineRule="auto"/>
        <w:ind w:left="0"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w:t>
      </w:r>
      <w:r w:rsidDel="00000000" w:rsidR="00000000" w:rsidRPr="00000000">
        <w:rPr>
          <w:rFonts w:ascii="Times New Roman" w:cs="Times New Roman" w:eastAsia="Times New Roman" w:hAnsi="Times New Roman"/>
          <w:highlight w:val="white"/>
          <w:rtl w:val="0"/>
        </w:rPr>
        <w:t xml:space="preserve">иконавець подає звітність щодо виконання Технічного завдання, згідно з технічними характеристиками та наданим замовником шаблоном.</w:t>
      </w:r>
    </w:p>
    <w:p w:rsidR="00000000" w:rsidDel="00000000" w:rsidP="00000000" w:rsidRDefault="00000000" w:rsidRPr="00000000" w14:paraId="00000023">
      <w:pPr>
        <w:tabs>
          <w:tab w:val="left" w:leader="none" w:pos="1134"/>
        </w:tabs>
        <w:spacing w:after="20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звіти по послугам мають бути надані українською мовою та надіслані на пошту </w:t>
      </w:r>
      <w:r w:rsidDel="00000000" w:rsidR="00000000" w:rsidRPr="00000000">
        <w:rPr>
          <w:rFonts w:ascii="Times New Roman" w:cs="Times New Roman" w:eastAsia="Times New Roman" w:hAnsi="Times New Roman"/>
          <w:color w:val="0070c0"/>
          <w:u w:val="single"/>
          <w:rtl w:val="0"/>
        </w:rPr>
        <w:t xml:space="preserve">o.matviichuk</w:t>
      </w:r>
      <w:r w:rsidDel="00000000" w:rsidR="00000000" w:rsidRPr="00000000">
        <w:rPr>
          <w:rFonts w:ascii="Times New Roman" w:cs="Times New Roman" w:eastAsia="Times New Roman" w:hAnsi="Times New Roman"/>
          <w:color w:val="0070c0"/>
          <w:rtl w:val="0"/>
        </w:rPr>
        <w:t xml:space="preserve">@r2p.org.ua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25">
      <w:pPr>
        <w:numPr>
          <w:ilvl w:val="0"/>
          <w:numId w:val="3"/>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Умови співпраці</w:t>
      </w:r>
      <w:r w:rsidDel="00000000" w:rsidR="00000000" w:rsidRPr="00000000">
        <w:rPr>
          <w:rtl w:val="0"/>
        </w:rPr>
      </w:r>
    </w:p>
    <w:p w:rsidR="00000000" w:rsidDel="00000000" w:rsidP="00000000" w:rsidRDefault="00000000" w:rsidRPr="00000000" w14:paraId="00000026">
      <w:pPr>
        <w:tabs>
          <w:tab w:val="left" w:leader="none" w:pos="1134"/>
        </w:tabs>
        <w:spacing w:after="200" w:line="25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фізична особа - підприємець (далі - ФОП 3- ї групи),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агенції, які працюють як </w:t>
      </w:r>
      <w:r w:rsidDel="00000000" w:rsidR="00000000" w:rsidRPr="00000000">
        <w:rPr>
          <w:rFonts w:ascii="Times New Roman" w:cs="Times New Roman" w:eastAsia="Times New Roman" w:hAnsi="Times New Roman"/>
          <w:rtl w:val="0"/>
        </w:rPr>
        <w:t xml:space="preserve">юридичні особи.</w:t>
      </w:r>
    </w:p>
    <w:p w:rsidR="00000000" w:rsidDel="00000000" w:rsidP="00000000" w:rsidRDefault="00000000" w:rsidRPr="00000000" w14:paraId="00000027">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здійснюється по факту виконаних робіт за фактично надані послуги на основі підписаного Договору, оригіналів рахунків, акту прийому передачі наданих послуг та звіту.</w:t>
      </w:r>
    </w:p>
    <w:p w:rsidR="00000000" w:rsidDel="00000000" w:rsidP="00000000" w:rsidRDefault="00000000" w:rsidRPr="00000000" w14:paraId="00000028">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 протягом 7 робочих днів з дати подання акту виконих робіт, рахунку на оплату та звіту.</w:t>
      </w:r>
    </w:p>
    <w:p w:rsidR="00000000" w:rsidDel="00000000" w:rsidP="00000000" w:rsidRDefault="00000000" w:rsidRPr="00000000" w14:paraId="00000029">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A">
      <w:pPr>
        <w:tabs>
          <w:tab w:val="left" w:leader="none" w:pos="1134"/>
        </w:tabs>
        <w:spacing w:after="200" w:line="256" w:lineRule="auto"/>
        <w:ind w:firstLine="70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у будь-який момент, ал</w:t>
      </w:r>
      <w:r w:rsidDel="00000000" w:rsidR="00000000" w:rsidRPr="00000000">
        <w:rPr>
          <w:rFonts w:ascii="Times New Roman" w:cs="Times New Roman" w:eastAsia="Times New Roman" w:hAnsi="Times New Roman"/>
          <w:rtl w:val="0"/>
        </w:rPr>
        <w:t xml:space="preserve">е</w:t>
      </w:r>
      <w:r w:rsidDel="00000000" w:rsidR="00000000" w:rsidRPr="00000000">
        <w:rPr>
          <w:rFonts w:ascii="Times New Roman" w:cs="Times New Roman" w:eastAsia="Times New Roman" w:hAnsi="Times New Roman"/>
          <w:rtl w:val="0"/>
        </w:rPr>
        <w:t xml:space="preserve"> не пізніше як 1 (один) дні до кінцевого терміну</w:t>
      </w:r>
      <w:r w:rsidDel="00000000" w:rsidR="00000000" w:rsidRPr="00000000">
        <w:rPr>
          <w:rFonts w:ascii="Times New Roman" w:cs="Times New Roman" w:eastAsia="Times New Roman" w:hAnsi="Times New Roman"/>
          <w:highlight w:val="white"/>
          <w:rtl w:val="0"/>
        </w:rPr>
        <w:t xml:space="preserve">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2B">
      <w:pPr>
        <w:tabs>
          <w:tab w:val="left" w:leader="none" w:pos="1134"/>
        </w:tabs>
        <w:spacing w:after="200" w:line="256" w:lineRule="auto"/>
        <w:ind w:firstLine="70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Попередній очікуваний об’єм послуг викладено в п. 1 даного оголошення про тендер.</w:t>
      </w:r>
    </w:p>
    <w:p w:rsidR="00000000" w:rsidDel="00000000" w:rsidP="00000000" w:rsidRDefault="00000000" w:rsidRPr="00000000" w14:paraId="0000002C">
      <w:pPr>
        <w:tabs>
          <w:tab w:val="left" w:leader="none" w:pos="1134"/>
        </w:tabs>
        <w:spacing w:after="20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Податки, збори або платежі Уряду України та/або Урядам будь-яких інших країн сплачуються Учасником відповідно до отриманої суми.</w:t>
      </w:r>
    </w:p>
    <w:p w:rsidR="00000000" w:rsidDel="00000000" w:rsidP="00000000" w:rsidRDefault="00000000" w:rsidRPr="00000000" w14:paraId="0000002D">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бути в санкційних списках України, ЄС, США, Канади, Японії, Великобританії.</w:t>
      </w:r>
    </w:p>
    <w:p w:rsidR="00000000" w:rsidDel="00000000" w:rsidP="00000000" w:rsidRDefault="00000000" w:rsidRPr="00000000" w14:paraId="0000002E">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перебувати в процесі припинення діяльності ФОП.</w:t>
      </w:r>
    </w:p>
    <w:p w:rsidR="00000000" w:rsidDel="00000000" w:rsidP="00000000" w:rsidRDefault="00000000" w:rsidRPr="00000000" w14:paraId="0000002F">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надані на тендер матеріали не мають бути розроблені за допомогою штучного інтелекту.</w:t>
      </w:r>
    </w:p>
    <w:p w:rsidR="00000000" w:rsidDel="00000000" w:rsidP="00000000" w:rsidRDefault="00000000" w:rsidRPr="00000000" w14:paraId="00000030">
      <w:pPr>
        <w:numPr>
          <w:ilvl w:val="0"/>
          <w:numId w:val="4"/>
        </w:numPr>
        <w:tabs>
          <w:tab w:val="left" w:leader="none" w:pos="1134"/>
        </w:tabs>
        <w:spacing w:after="240" w:before="24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Вимоги до подання пропозицій:</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1">
      <w:pPr>
        <w:tabs>
          <w:tab w:val="left" w:leader="none" w:pos="1134"/>
        </w:tabs>
        <w:spacing w:after="200" w:line="25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Просимо надати наступний пакет документів, який буде містити:</w:t>
      </w:r>
    </w:p>
    <w:p w:rsidR="00000000" w:rsidDel="00000000" w:rsidP="00000000" w:rsidRDefault="00000000" w:rsidRPr="00000000" w14:paraId="00000032">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Контактну інформацію учасника тендеру та виконавця послуг (якщо відмінні);</w:t>
      </w:r>
    </w:p>
    <w:p w:rsidR="00000000" w:rsidDel="00000000" w:rsidP="00000000" w:rsidRDefault="00000000" w:rsidRPr="00000000" w14:paraId="00000033">
      <w:pPr>
        <w:numPr>
          <w:ilvl w:val="0"/>
          <w:numId w:val="2"/>
        </w:numPr>
        <w:tabs>
          <w:tab w:val="left" w:leader="none" w:pos="1134"/>
        </w:tabs>
        <w:spacing w:line="25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Диплом про освіту (у разі відсутності диплома про освіту, пропозиція не може бути прийнятою до розгляду);</w:t>
      </w:r>
    </w:p>
    <w:p w:rsidR="00000000" w:rsidDel="00000000" w:rsidP="00000000" w:rsidRDefault="00000000" w:rsidRPr="00000000" w14:paraId="00000034">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CV виконавця з детальним описом релевантного досвіду за останні 3 роки як експертного (у сфері організації діяльності Безпечних простір для жінок та дітей) та і менторського (перелік оргаізацій, установ, яким надавались менторські послуги);</w:t>
      </w:r>
      <w:r w:rsidDel="00000000" w:rsidR="00000000" w:rsidRPr="00000000">
        <w:rPr>
          <w:rtl w:val="0"/>
        </w:rPr>
      </w:r>
    </w:p>
    <w:p w:rsidR="00000000" w:rsidDel="00000000" w:rsidP="00000000" w:rsidRDefault="00000000" w:rsidRPr="00000000" w14:paraId="00000035">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1 Опис бачення реалізації технічного завдання (не більше 1,5 сторінки тексту, шрифт Times New Roman, 11) в форматі pdf з підписом та печаткою, якщо є;</w:t>
      </w:r>
      <w:r w:rsidDel="00000000" w:rsidR="00000000" w:rsidRPr="00000000">
        <w:rPr>
          <w:rtl w:val="0"/>
        </w:rPr>
      </w:r>
    </w:p>
    <w:p w:rsidR="00000000" w:rsidDel="00000000" w:rsidP="00000000" w:rsidRDefault="00000000" w:rsidRPr="00000000" w14:paraId="00000036">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В.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p>
    <w:p w:rsidR="00000000" w:rsidDel="00000000" w:rsidP="00000000" w:rsidRDefault="00000000" w:rsidRPr="00000000" w14:paraId="00000037">
      <w:pPr>
        <w:numPr>
          <w:ilvl w:val="0"/>
          <w:numId w:val="2"/>
        </w:numPr>
        <w:tabs>
          <w:tab w:val="left" w:leader="none" w:pos="1134"/>
        </w:tabs>
        <w:spacing w:line="25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Додаток А (зразок надається) має бути підписаний та завірений печаткою, якщо є.</w:t>
      </w:r>
    </w:p>
    <w:p w:rsidR="00000000" w:rsidDel="00000000" w:rsidP="00000000" w:rsidRDefault="00000000" w:rsidRPr="00000000" w14:paraId="00000038">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w:t>
      </w:r>
      <w:r w:rsidDel="00000000" w:rsidR="00000000" w:rsidRPr="00000000">
        <w:rPr>
          <w:rtl w:val="0"/>
        </w:rPr>
      </w:r>
    </w:p>
    <w:p w:rsidR="00000000" w:rsidDel="00000000" w:rsidP="00000000" w:rsidRDefault="00000000" w:rsidRPr="00000000" w14:paraId="00000039">
      <w:pPr>
        <w:numPr>
          <w:ilvl w:val="0"/>
          <w:numId w:val="2"/>
        </w:numPr>
        <w:tabs>
          <w:tab w:val="left" w:leader="none" w:pos="1134"/>
        </w:tabs>
        <w:spacing w:after="240" w:line="256" w:lineRule="auto"/>
        <w:ind w:left="720" w:hanging="360"/>
        <w:jc w:val="both"/>
        <w:rPr/>
      </w:pPr>
      <w:r w:rsidDel="00000000" w:rsidR="00000000" w:rsidRPr="00000000">
        <w:rPr>
          <w:rFonts w:ascii="Times New Roman" w:cs="Times New Roman" w:eastAsia="Times New Roman" w:hAnsi="Times New Roman"/>
          <w:rtl w:val="0"/>
        </w:rPr>
        <w:t xml:space="preserve">Скан-копії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r w:rsidDel="00000000" w:rsidR="00000000" w:rsidRPr="00000000">
        <w:rPr>
          <w:rtl w:val="0"/>
        </w:rPr>
      </w:r>
    </w:p>
    <w:p w:rsidR="00000000" w:rsidDel="00000000" w:rsidP="00000000" w:rsidRDefault="00000000" w:rsidRPr="00000000" w14:paraId="0000003A">
      <w:pPr>
        <w:tabs>
          <w:tab w:val="left" w:leader="none" w:pos="1134"/>
        </w:tabs>
        <w:spacing w:after="200" w:before="18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 Підведення підсумків тендеру </w:t>
      </w:r>
      <w:r w:rsidDel="00000000" w:rsidR="00000000" w:rsidRPr="00000000">
        <w:rPr>
          <w:rFonts w:ascii="Times New Roman" w:cs="Times New Roman" w:eastAsia="Times New Roman" w:hAnsi="Times New Roman"/>
          <w:rtl w:val="0"/>
        </w:rPr>
        <w:t xml:space="preserve">Оцінювання тендерних пропозицій буде складатися на 70% з оцінки технічних пропозицій та на 30% з оцінки цінових пропозицій.</w:t>
      </w:r>
    </w:p>
    <w:tbl>
      <w:tblPr>
        <w:tblStyle w:val="Table2"/>
        <w:tblW w:w="9675.0" w:type="dxa"/>
        <w:jc w:val="left"/>
        <w:tblInd w:w="-2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0"/>
        <w:gridCol w:w="2340"/>
        <w:gridCol w:w="5445"/>
        <w:gridCol w:w="1470"/>
        <w:tblGridChange w:id="0">
          <w:tblGrid>
            <w:gridCol w:w="420"/>
            <w:gridCol w:w="2340"/>
            <w:gridCol w:w="5445"/>
            <w:gridCol w:w="1470"/>
          </w:tblGrid>
        </w:tblGridChange>
      </w:tblGrid>
      <w:tr>
        <w:trPr>
          <w:cantSplit w:val="0"/>
          <w:trHeight w:val="450"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3B">
            <w:pPr>
              <w:tabs>
                <w:tab w:val="left" w:leader="none" w:pos="1134"/>
              </w:tabs>
              <w:spacing w:after="20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ШКАЛА ОЦІНКИ  КРИТЕРІЇВ</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3F">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0">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Критерії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tcPr>
          <w:p w:rsidR="00000000" w:rsidDel="00000000" w:rsidP="00000000" w:rsidRDefault="00000000" w:rsidRPr="00000000" w14:paraId="00000041">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МЕТОДОЛОГІЯ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2">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Максимальна кількість балів за вимогою</w:t>
            </w:r>
          </w:p>
        </w:tc>
      </w:tr>
      <w:tr>
        <w:trPr>
          <w:cantSplit w:val="0"/>
          <w:trHeight w:val="4275.624999999999"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Рівень освіти.</w:t>
            </w:r>
          </w:p>
          <w:p w:rsidR="00000000" w:rsidDel="00000000" w:rsidP="00000000" w:rsidRDefault="00000000" w:rsidRPr="00000000" w14:paraId="0000004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найкращим та допустимим сценарієм, очікується наявність у Виконавця вищої освіти не нижче рівня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6">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Магістр, Спеціаліст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7">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5 бали: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8">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0 балів: Відсутність вищої освіти АБО не надана</w:t>
              <w:br w:type="textWrapping"/>
              <w:t xml:space="preserve">інформація щодо освіти або копії дипломів АБО освіта Виконавця повністю нерелевантна вимогам Замовника.</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8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Резюме.</w:t>
            </w:r>
          </w:p>
          <w:p w:rsidR="00000000" w:rsidDel="00000000" w:rsidP="00000000" w:rsidRDefault="00000000" w:rsidRPr="00000000" w14:paraId="0000004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Демонстрація вичерпної інформації у ключових сферах та завданнях запиту, зазначений детальний опис повноважень, навичок, досягнень, розроблених матеріалів, менторства за час набуття досвіду. Резюме актуалізоване та містить інформацію діяльності фахівця щонайменше за останні 5 років.</w:t>
            </w:r>
          </w:p>
          <w:p w:rsidR="00000000" w:rsidDel="00000000" w:rsidP="00000000" w:rsidRDefault="00000000" w:rsidRPr="00000000" w14:paraId="0000004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p>
          <w:p w:rsidR="00000000" w:rsidDel="00000000" w:rsidP="00000000" w:rsidRDefault="00000000" w:rsidRPr="00000000" w14:paraId="0000004F">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w:t>
            </w:r>
          </w:p>
          <w:p w:rsidR="00000000" w:rsidDel="00000000" w:rsidP="00000000" w:rsidRDefault="00000000" w:rsidRPr="00000000" w14:paraId="00000050">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1">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Не надано резюме або досвід не є релевантним до сфери та завдань запиту.</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20</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Опис бачення реалізації технічного завдання.</w:t>
            </w:r>
          </w:p>
          <w:p w:rsidR="00000000" w:rsidDel="00000000" w:rsidP="00000000" w:rsidRDefault="00000000" w:rsidRPr="00000000" w14:paraId="0000005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опис бачення реалізації технічного завдання (Додаток 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опис бачення реалізації технічного завдання прописаний детально, структуровано, відповідно до запропонованої форми і відповідає темі запиту.</w:t>
            </w:r>
          </w:p>
          <w:p w:rsidR="00000000" w:rsidDel="00000000" w:rsidP="00000000" w:rsidRDefault="00000000" w:rsidRPr="00000000" w14:paraId="0000005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опис бачення реалізації технічного завдання прописаний детально, проте не містить деталізації щодо питань, які ментор планує задавати для уточнення запиту та ведення процесу менторингу</w:t>
            </w:r>
          </w:p>
          <w:p w:rsidR="00000000" w:rsidDel="00000000" w:rsidP="00000000" w:rsidRDefault="00000000" w:rsidRPr="00000000" w14:paraId="0000005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балів – опис бачення реалізації технічного завдання прописаний узагальнено і опосередковано пов’язаний із темою запиту.</w:t>
            </w:r>
          </w:p>
          <w:p w:rsidR="00000000" w:rsidDel="00000000" w:rsidP="00000000" w:rsidRDefault="00000000" w:rsidRPr="00000000" w14:paraId="0000005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опис бачення реалізації технічного завдання поданий, проте не відповідає темі запиту.</w:t>
            </w:r>
          </w:p>
          <w:p w:rsidR="00000000" w:rsidDel="00000000" w:rsidP="00000000" w:rsidRDefault="00000000" w:rsidRPr="00000000" w14:paraId="0000005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опис бачення реалізації технічного завдання не поданий, або не прописаний, або не відповідає темі запиту. </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організаціями громадянського суспільства.</w:t>
            </w:r>
          </w:p>
          <w:p w:rsidR="00000000" w:rsidDel="00000000" w:rsidP="00000000" w:rsidRDefault="00000000" w:rsidRPr="00000000" w14:paraId="0000005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надання послуг для організацій громадянського суспільства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Учасник має значний досвід у сфері адвокації на локальному рівні, в тому числі адвокації надання соціальних послуг</w:t>
            </w:r>
          </w:p>
          <w:p w:rsidR="00000000" w:rsidDel="00000000" w:rsidP="00000000" w:rsidRDefault="00000000" w:rsidRPr="00000000" w14:paraId="0000006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має незначний досвід у сфері адвокації, в тому числі адвокації надання соціальних послуг на локальному рівні, наявний досвід не релевантний темі запиту тощо.</w:t>
            </w:r>
          </w:p>
          <w:p w:rsidR="00000000" w:rsidDel="00000000" w:rsidP="00000000" w:rsidRDefault="00000000" w:rsidRPr="00000000" w14:paraId="0000006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має досвіду адвокації/надання соціальних послуг</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6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bl>
    <w:p w:rsidR="00000000" w:rsidDel="00000000" w:rsidP="00000000" w:rsidRDefault="00000000" w:rsidRPr="00000000" w14:paraId="00000063">
      <w:pPr>
        <w:tabs>
          <w:tab w:val="left" w:leader="none" w:pos="1134"/>
        </w:tabs>
        <w:spacing w:line="240" w:lineRule="auto"/>
        <w:ind w:left="-566" w:firstLine="0"/>
        <w:jc w:val="both"/>
        <w:rPr>
          <w:rFonts w:ascii="Times New Roman" w:cs="Times New Roman" w:eastAsia="Times New Roman" w:hAnsi="Times New Roman"/>
          <w:i w:val="1"/>
          <w:iCs w:val="1"/>
        </w:rPr>
      </w:pPr>
      <w:bookmarkStart w:colFirst="0" w:colLast="0" w:name="_heading=h.wdh5z4ae9mhx" w:id="0"/>
      <w:bookmarkEnd w:id="0"/>
      <w:r w:rsidDel="00000000" w:rsidR="00000000" w:rsidRPr="00000000">
        <w:rPr>
          <w:rFonts w:ascii="Times New Roman" w:cs="Times New Roman" w:eastAsia="Times New Roman" w:hAnsi="Times New Roman"/>
          <w:i w:val="1"/>
          <w:iCs w:val="1"/>
          <w:rtl w:val="0"/>
        </w:rPr>
        <w:t xml:space="preserve">Надання послуг здійснюється в рамках проєкту «Комплексна відповідь у сфері захисту, охорони здоров’я та надзвичайного реагування для громад, які перебувають у зоні ризику, у Дніпропетровській та Харківській областях», що фінансується Italian Cooperation</w:t>
      </w:r>
    </w:p>
    <w:p w:rsidR="00000000" w:rsidDel="00000000" w:rsidP="00000000" w:rsidRDefault="00000000" w:rsidRPr="00000000" w14:paraId="00000064">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5">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6">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7">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8">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9">
      <w:pPr>
        <w:tabs>
          <w:tab w:val="left" w:leader="none" w:pos="1134"/>
        </w:tabs>
        <w:spacing w:line="240" w:lineRule="auto"/>
        <w:ind w:left="-56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LOT 1 Terms of Reference for Procurement of Mentoring Services in the Field of Advocacy.</w:t>
      </w:r>
    </w:p>
    <w:p w:rsidR="00000000" w:rsidDel="00000000" w:rsidP="00000000" w:rsidRDefault="00000000" w:rsidRPr="00000000" w14:paraId="0000006A">
      <w:pPr>
        <w:tabs>
          <w:tab w:val="left" w:leader="none" w:pos="1134"/>
        </w:tabs>
        <w:spacing w:line="240" w:lineRule="auto"/>
        <w:ind w:left="-566" w:firstLine="0"/>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B">
      <w:pPr>
        <w:tabs>
          <w:tab w:val="left" w:leader="none" w:pos="1134"/>
        </w:tabs>
        <w:spacing w:line="240" w:lineRule="auto"/>
        <w:ind w:left="-566" w:firstLine="0"/>
        <w:jc w:val="both"/>
        <w:rPr>
          <w:rFonts w:ascii="Times New Roman" w:cs="Times New Roman" w:eastAsia="Times New Roman" w:hAnsi="Times New Roman"/>
        </w:rPr>
      </w:pPr>
      <w:bookmarkStart w:colFirst="0" w:colLast="0" w:name="_heading=h.2gxcgti6t31q" w:id="1"/>
      <w:bookmarkEnd w:id="1"/>
      <w:r w:rsidDel="00000000" w:rsidR="00000000" w:rsidRPr="00000000">
        <w:rPr>
          <w:rFonts w:ascii="Times New Roman" w:cs="Times New Roman" w:eastAsia="Times New Roman" w:hAnsi="Times New Roman"/>
          <w:b w:val="1"/>
          <w:bCs w:val="1"/>
          <w:rtl w:val="0"/>
        </w:rPr>
        <w:t xml:space="preserve">General Information </w:t>
      </w:r>
      <w:r w:rsidDel="00000000" w:rsidR="00000000" w:rsidRPr="00000000">
        <w:rPr>
          <w:rFonts w:ascii="Times New Roman" w:cs="Times New Roman" w:eastAsia="Times New Roman" w:hAnsi="Times New Roman"/>
          <w:rtl w:val="0"/>
        </w:rPr>
        <w:t xml:space="preserve"> The Charitable Foundation “Right to Protection” (the Foundation) is a non-governmental organization focused on providing assistance to internally displaced persons (IDPs), people affected by hostilities, refugees, and stateless persons. The Foundation is an implementing partner of UNHCR and monitors the protection situation of IDPs by providing legal assistance and strengthening the humanitarian response across 22 regions of Ukraine. It also contributes to improvements in the national legal framework, aligning it with international human rights standards.</w:t>
      </w:r>
    </w:p>
    <w:p w:rsidR="00000000" w:rsidDel="00000000" w:rsidP="00000000" w:rsidRDefault="00000000" w:rsidRPr="00000000" w14:paraId="0000006C">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D">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key areas of the Foundation’s work is the prevention of gender-based violence (GBV) and domestic violence, as well as the protection of women and children affected by GBV and domestic violence. To this end, the Foundation supports the operation of Safe Spaces for Women and Children at the community level through the implementation of a mentoring program within the project “Integrated Protection, Health, and Emergency Response for At-Risk Communities in Dnipropetrovsk and Kharkiv Regions,” funded by Italian Cooperation.</w:t>
      </w:r>
    </w:p>
    <w:p w:rsidR="00000000" w:rsidDel="00000000" w:rsidP="00000000" w:rsidRDefault="00000000" w:rsidRPr="00000000" w14:paraId="0000006E">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Community Mentorship Program (based on existing Safe Spaces for Women and Girls – W&amp;GSS) provides comprehensive support to Safe Spaces in target regions/communities on their path toward independent, active, and effective functioning.</w:t>
      </w:r>
    </w:p>
    <w:p w:rsidR="00000000" w:rsidDel="00000000" w:rsidP="00000000" w:rsidRDefault="00000000" w:rsidRPr="00000000" w14:paraId="00000070">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tabs>
          <w:tab w:val="left" w:leader="none" w:pos="1134"/>
        </w:tabs>
        <w:spacing w:after="200" w:line="120" w:lineRule="auto"/>
        <w:jc w:val="both"/>
        <w:rPr>
          <w:rFonts w:ascii="Times New Roman" w:cs="Times New Roman" w:eastAsia="Times New Roman" w:hAnsi="Times New Roman"/>
          <w:highlight w:val="white"/>
        </w:rPr>
      </w:pPr>
      <w:bookmarkStart w:colFirst="0" w:colLast="0" w:name="_heading=h.ur8rnky4mb93" w:id="2"/>
      <w:bookmarkEnd w:id="2"/>
      <w:r w:rsidDel="00000000" w:rsidR="00000000" w:rsidRPr="00000000">
        <w:rPr>
          <w:rFonts w:ascii="Times New Roman" w:cs="Times New Roman" w:eastAsia="Times New Roman" w:hAnsi="Times New Roman"/>
          <w:b w:val="1"/>
          <w:bCs w:val="1"/>
          <w:rtl w:val="0"/>
        </w:rPr>
        <w:t xml:space="preserve">Service to be Procured</w:t>
      </w:r>
      <w:r w:rsidDel="00000000" w:rsidR="00000000" w:rsidRPr="00000000">
        <w:rPr>
          <w:rFonts w:ascii="Times New Roman" w:cs="Times New Roman" w:eastAsia="Times New Roman" w:hAnsi="Times New Roman"/>
          <w:b w:val="1"/>
          <w:bCs w:val="1"/>
          <w:highlight w:val="white"/>
          <w:rtl w:val="0"/>
        </w:rPr>
        <w:t xml:space="preserve">: </w:t>
      </w:r>
      <w:r w:rsidDel="00000000" w:rsidR="00000000" w:rsidRPr="00000000">
        <w:rPr>
          <w:rFonts w:ascii="Times New Roman" w:cs="Times New Roman" w:eastAsia="Times New Roman" w:hAnsi="Times New Roman"/>
          <w:rtl w:val="0"/>
        </w:rPr>
        <w:t xml:space="preserve">Advocacy mentoring services for Safe Spaces for Women and Children</w:t>
      </w:r>
      <w:r w:rsidDel="00000000" w:rsidR="00000000" w:rsidRPr="00000000">
        <w:rPr>
          <w:rtl w:val="0"/>
        </w:rPr>
      </w:r>
    </w:p>
    <w:p w:rsidR="00000000" w:rsidDel="00000000" w:rsidP="00000000" w:rsidRDefault="00000000" w:rsidRPr="00000000" w14:paraId="00000072">
      <w:pPr>
        <w:tabs>
          <w:tab w:val="left" w:leader="none" w:pos="1134"/>
        </w:tabs>
        <w:spacing w:after="200" w:lin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Service delivery format: </w:t>
      </w:r>
      <w:r w:rsidDel="00000000" w:rsidR="00000000" w:rsidRPr="00000000">
        <w:rPr>
          <w:rFonts w:ascii="Times New Roman" w:cs="Times New Roman" w:eastAsia="Times New Roman" w:hAnsi="Times New Roman"/>
          <w:rtl w:val="0"/>
        </w:rPr>
        <w:t xml:space="preserve">Online.</w:t>
      </w:r>
    </w:p>
    <w:p w:rsidR="00000000" w:rsidDel="00000000" w:rsidP="00000000" w:rsidRDefault="00000000" w:rsidRPr="00000000" w14:paraId="00000073">
      <w:pPr>
        <w:tabs>
          <w:tab w:val="left" w:leader="none" w:pos="1134"/>
        </w:tabs>
        <w:spacing w:after="200" w:lin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Service provision period: </w:t>
      </w:r>
      <w:r w:rsidDel="00000000" w:rsidR="00000000" w:rsidRPr="00000000">
        <w:rPr>
          <w:rFonts w:ascii="Times New Roman" w:cs="Times New Roman" w:eastAsia="Times New Roman" w:hAnsi="Times New Roman"/>
          <w:rtl w:val="0"/>
        </w:rPr>
        <w:t xml:space="preserve">April – August 2026.</w:t>
      </w:r>
    </w:p>
    <w:p w:rsidR="00000000" w:rsidDel="00000000" w:rsidP="00000000" w:rsidRDefault="00000000" w:rsidRPr="00000000" w14:paraId="00000074">
      <w:pPr>
        <w:tabs>
          <w:tab w:val="left" w:leader="none" w:pos="1134"/>
        </w:tabs>
        <w:spacing w:after="200" w:lin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Geography of project participants: </w:t>
      </w:r>
      <w:r w:rsidDel="00000000" w:rsidR="00000000" w:rsidRPr="00000000">
        <w:rPr>
          <w:rFonts w:ascii="Times New Roman" w:cs="Times New Roman" w:eastAsia="Times New Roman" w:hAnsi="Times New Roman"/>
          <w:rtl w:val="0"/>
        </w:rPr>
        <w:t xml:space="preserve">Kharkiv and Dnipropetrovsk regions.</w:t>
      </w:r>
    </w:p>
    <w:p w:rsidR="00000000" w:rsidDel="00000000" w:rsidP="00000000" w:rsidRDefault="00000000" w:rsidRPr="00000000" w14:paraId="00000075">
      <w:pPr>
        <w:tabs>
          <w:tab w:val="left" w:leader="none" w:pos="1134"/>
        </w:tabs>
        <w:spacing w:after="200" w:lin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Number of service providers:</w:t>
      </w:r>
      <w:r w:rsidDel="00000000" w:rsidR="00000000" w:rsidRPr="00000000">
        <w:rPr>
          <w:rFonts w:ascii="Times New Roman" w:cs="Times New Roman" w:eastAsia="Times New Roman" w:hAnsi="Times New Roman"/>
          <w:rtl w:val="0"/>
        </w:rPr>
        <w:t xml:space="preserve"> 1 provider will be selected under this tender.</w:t>
      </w:r>
    </w:p>
    <w:p w:rsidR="00000000" w:rsidDel="00000000" w:rsidP="00000000" w:rsidRDefault="00000000" w:rsidRPr="00000000" w14:paraId="00000076">
      <w:pPr>
        <w:tabs>
          <w:tab w:val="left" w:leader="none" w:pos="1134"/>
        </w:tabs>
        <w:spacing w:after="200" w:lin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Number of Safe Spaces covered</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10 WGSS.</w:t>
      </w:r>
    </w:p>
    <w:p w:rsidR="00000000" w:rsidDel="00000000" w:rsidP="00000000" w:rsidRDefault="00000000" w:rsidRPr="00000000" w14:paraId="00000077">
      <w:pPr>
        <w:tabs>
          <w:tab w:val="left" w:leader="none" w:pos="1134"/>
        </w:tabs>
        <w:spacing w:after="200" w:lin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Mentoring duration: </w:t>
      </w:r>
      <w:r w:rsidDel="00000000" w:rsidR="00000000" w:rsidRPr="00000000">
        <w:rPr>
          <w:rFonts w:ascii="Times New Roman" w:cs="Times New Roman" w:eastAsia="Times New Roman" w:hAnsi="Times New Roman"/>
          <w:rtl w:val="0"/>
        </w:rPr>
        <w:t xml:space="preserve">approximately 4 hours per 1 Safe Space.</w:t>
      </w:r>
    </w:p>
    <w:p w:rsidR="00000000" w:rsidDel="00000000" w:rsidP="00000000" w:rsidRDefault="00000000" w:rsidRPr="00000000" w14:paraId="00000078">
      <w:pPr>
        <w:tabs>
          <w:tab w:val="left" w:leader="none" w:pos="1134"/>
        </w:tabs>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selected service provider shall independently determine the time required for needs clarification, preparation for sessions, and reporting. The cost of these activities must be included in the total service price.</w:t>
      </w:r>
    </w:p>
    <w:p w:rsidR="00000000" w:rsidDel="00000000" w:rsidP="00000000" w:rsidRDefault="00000000" w:rsidRPr="00000000" w14:paraId="00000079">
      <w:pPr>
        <w:tabs>
          <w:tab w:val="left" w:leader="none" w:pos="1134"/>
        </w:tabs>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detailed list of tasks is provided in Section 1: Technical Assignment within the service provisionг.</w:t>
      </w:r>
    </w:p>
    <w:p w:rsidR="00000000" w:rsidDel="00000000" w:rsidP="00000000" w:rsidRDefault="00000000" w:rsidRPr="00000000" w14:paraId="0000007A">
      <w:pPr>
        <w:tabs>
          <w:tab w:val="left" w:leader="none" w:pos="1134"/>
        </w:tabs>
        <w:spacing w:after="200" w:line="256" w:lineRule="auto"/>
        <w:jc w:val="both"/>
        <w:rPr/>
      </w:pPr>
      <w:bookmarkStart w:colFirst="0" w:colLast="0" w:name="_heading=h.yprcm7ipitvu" w:id="3"/>
      <w:bookmarkEnd w:id="3"/>
      <w:r w:rsidDel="00000000" w:rsidR="00000000" w:rsidRPr="00000000">
        <w:rPr>
          <w:rFonts w:ascii="Times New Roman" w:cs="Times New Roman" w:eastAsia="Times New Roman" w:hAnsi="Times New Roman"/>
          <w:b w:val="1"/>
          <w:bCs w:val="1"/>
          <w:rtl w:val="0"/>
        </w:rPr>
        <w:t xml:space="preserve">1. Technical Assignment within Service Provision – LOT 1:</w:t>
      </w:r>
      <w:r w:rsidDel="00000000" w:rsidR="00000000" w:rsidRPr="00000000">
        <w:rPr>
          <w:rtl w:val="0"/>
        </w:rPr>
      </w:r>
    </w:p>
    <w:tbl>
      <w:tblPr>
        <w:tblStyle w:val="Table3"/>
        <w:tblW w:w="96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
        <w:gridCol w:w="1545"/>
        <w:gridCol w:w="2505"/>
        <w:gridCol w:w="3615"/>
        <w:gridCol w:w="1305"/>
        <w:tblGridChange w:id="0">
          <w:tblGrid>
            <w:gridCol w:w="645"/>
            <w:gridCol w:w="1545"/>
            <w:gridCol w:w="2505"/>
            <w:gridCol w:w="3615"/>
            <w:gridCol w:w="1305"/>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B">
            <w:pPr>
              <w:tabs>
                <w:tab w:val="left" w:leader="none" w:pos="1134"/>
              </w:tabs>
              <w:spacing w:before="240" w:lineRule="auto"/>
              <w:jc w:val="both"/>
              <w:rPr>
                <w:rFonts w:ascii="Times New Roman" w:cs="Times New Roman" w:eastAsia="Times New Roman" w:hAnsi="Times New Roman"/>
                <w:b w:val="1"/>
                <w:bCs w:val="1"/>
              </w:rPr>
            </w:pPr>
            <w:bookmarkStart w:colFirst="0" w:colLast="0" w:name="_heading=h.sczvld4n7inr" w:id="4"/>
            <w:bookmarkEnd w:id="4"/>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C">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Tasks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D">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Technical Specifications of the Final Deliverable</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E">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Expected Results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F">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Service Provision Period</w:t>
            </w:r>
          </w:p>
        </w:tc>
      </w:tr>
      <w:tr>
        <w:trPr>
          <w:cantSplit w:val="0"/>
          <w:trHeight w:val="18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0">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1">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individual mentoring plans for each WGSS</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2">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 document with the mentoring plan and schedule</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3">
            <w:pPr>
              <w:tabs>
                <w:tab w:val="left" w:leader="none" w:pos="1134"/>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mentoring plan and schedule are developed, including a refined request, key steps, and expected results</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4">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7 days prior to the start of service provision</w:t>
            </w:r>
          </w:p>
        </w:tc>
      </w:tr>
      <w:tr>
        <w:trPr>
          <w:cantSplit w:val="0"/>
          <w:trHeight w:val="20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5">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6">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mentoring services for 10 W&amp;GSS</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7">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 document indicating meeting dates and outcomes of each session, including the list of participants, etc. (template to be provided separately)</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88">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Strengthened capacity of each of the 10 WGSS in the field of advocacy</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9">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 August 2026</w:t>
            </w:r>
          </w:p>
        </w:tc>
      </w:tr>
    </w:tbl>
    <w:p w:rsidR="00000000" w:rsidDel="00000000" w:rsidP="00000000" w:rsidRDefault="00000000" w:rsidRPr="00000000" w14:paraId="0000008A">
      <w:pPr>
        <w:tabs>
          <w:tab w:val="left" w:leader="none" w:pos="1134"/>
        </w:tabs>
        <w:spacing w:after="200" w:line="256" w:lineRule="auto"/>
        <w:ind w:left="720" w:firstLine="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rtl w:val="0"/>
        </w:rPr>
        <w:t xml:space="preserve">Звітність</w:t>
      </w:r>
    </w:p>
    <w:p w:rsidR="00000000" w:rsidDel="00000000" w:rsidP="00000000" w:rsidRDefault="00000000" w:rsidRPr="00000000" w14:paraId="0000008B">
      <w:pPr>
        <w:tabs>
          <w:tab w:val="left" w:leader="none" w:pos="1134"/>
        </w:tabs>
        <w:spacing w:after="200" w:lineRule="auto"/>
        <w:ind w:firstLine="560"/>
        <w:jc w:val="both"/>
        <w:rPr>
          <w:rFonts w:ascii="Times New Roman" w:cs="Times New Roman" w:eastAsia="Times New Roman" w:hAnsi="Times New Roman"/>
          <w:highlight w:val="white"/>
        </w:rPr>
      </w:pPr>
      <w:bookmarkStart w:colFirst="0" w:colLast="0" w:name="_heading=h.3xiov3xnhwkj" w:id="5"/>
      <w:bookmarkEnd w:id="5"/>
      <w:r w:rsidDel="00000000" w:rsidR="00000000" w:rsidRPr="00000000">
        <w:rPr>
          <w:rFonts w:ascii="Times New Roman" w:cs="Times New Roman" w:eastAsia="Times New Roman" w:hAnsi="Times New Roman"/>
          <w:rtl w:val="0"/>
        </w:rPr>
        <w:t xml:space="preserve">The Contractor shall submit reports on the implementation of the Terms of Reference in accordance with the technical specifications and the template provided by the Client</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8C">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service reports must be submitted in Ukrainian and sent to o.matviichuk@r2p.org.ua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D">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Reports and all accompanying materials produced by the Contractor under the contract shall be transferred to the Foundation without any encumbrance regarding copyright.</w:t>
      </w:r>
    </w:p>
    <w:p w:rsidR="00000000" w:rsidDel="00000000" w:rsidP="00000000" w:rsidRDefault="00000000" w:rsidRPr="00000000" w14:paraId="0000008E">
      <w:pPr>
        <w:tabs>
          <w:tab w:val="left" w:leader="none" w:pos="1134"/>
        </w:tabs>
        <w:spacing w:after="200" w:line="256" w:lineRule="auto"/>
        <w:ind w:firstLine="70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Terms of Cooperation</w:t>
      </w:r>
    </w:p>
    <w:p w:rsidR="00000000" w:rsidDel="00000000" w:rsidP="00000000" w:rsidRDefault="00000000" w:rsidRPr="00000000" w14:paraId="0000008F">
      <w:pPr>
        <w:tabs>
          <w:tab w:val="left" w:leader="none" w:pos="1134"/>
        </w:tabs>
        <w:spacing w:after="200" w:line="25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tender participant may be an individual entrepreneur (hereinafter – IE) submitting their proposal to participate in the tender. The Contractor, in the context of this tender, is the person who will directly provide the services in accordance with the terms of the tender documentation and the signed contract. Agencies operating as LLCs are also eligible to participate in the tender.</w:t>
      </w:r>
    </w:p>
    <w:p w:rsidR="00000000" w:rsidDel="00000000" w:rsidP="00000000" w:rsidRDefault="00000000" w:rsidRPr="00000000" w14:paraId="00000090">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will be made based on actual services rendered, upon submission of the signed contract, original invoices, acceptance certificates for the provided services, and reports.</w:t>
      </w:r>
    </w:p>
    <w:p w:rsidR="00000000" w:rsidDel="00000000" w:rsidP="00000000" w:rsidRDefault="00000000" w:rsidRPr="00000000" w14:paraId="00000091">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payments will be made exclusively in the national currency of Ukraine (hryvnia) via bank transfer to the current account of the individual entrepreneur – service provider within 7 business days from the date of submission of the acceptance certificate, invoice, and report.</w:t>
      </w:r>
    </w:p>
    <w:p w:rsidR="00000000" w:rsidDel="00000000" w:rsidP="00000000" w:rsidRDefault="00000000" w:rsidRPr="00000000" w14:paraId="00000092">
      <w:pPr>
        <w:tabs>
          <w:tab w:val="left" w:leader="none" w:pos="1134"/>
        </w:tabs>
        <w:spacing w:after="200" w:line="25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Foundation reserves the right to accept or reject any proposal or cancel the tender at any time prior to signing a contract with the supplier and shall not bear any liability for such actions.</w:t>
      </w:r>
    </w:p>
    <w:p w:rsidR="00000000" w:rsidDel="00000000" w:rsidP="00000000" w:rsidRDefault="00000000" w:rsidRPr="00000000" w14:paraId="00000093">
      <w:pPr>
        <w:tabs>
          <w:tab w:val="left" w:leader="none" w:pos="1134"/>
        </w:tabs>
        <w:spacing w:after="200" w:line="256" w:lineRule="auto"/>
        <w:ind w:firstLine="70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Participants may, at any time but </w:t>
      </w:r>
      <w:r w:rsidDel="00000000" w:rsidR="00000000" w:rsidRPr="00000000">
        <w:rPr>
          <w:rFonts w:ascii="Times New Roman" w:cs="Times New Roman" w:eastAsia="Times New Roman" w:hAnsi="Times New Roman"/>
          <w:rtl w:val="0"/>
        </w:rPr>
        <w:t xml:space="preserve">no later than 1 (one) days before the final submission deadline, contact the Foundation for clarifications or questions regarding the subject of the procurement by sending a request to</w:t>
      </w:r>
      <w:r w:rsidDel="00000000" w:rsidR="00000000" w:rsidRPr="00000000">
        <w:rPr>
          <w:rFonts w:ascii="Times New Roman" w:cs="Times New Roman" w:eastAsia="Times New Roman" w:hAnsi="Times New Roman"/>
          <w:highlight w:val="white"/>
          <w:rtl w:val="0"/>
        </w:rPr>
        <w:t xml:space="preserve">: tender@r2p.org.ua.</w:t>
      </w:r>
    </w:p>
    <w:p w:rsidR="00000000" w:rsidDel="00000000" w:rsidP="00000000" w:rsidRDefault="00000000" w:rsidRPr="00000000" w14:paraId="00000094">
      <w:pPr>
        <w:tabs>
          <w:tab w:val="left" w:leader="none" w:pos="1134"/>
        </w:tabs>
        <w:spacing w:after="200" w:line="256" w:lineRule="auto"/>
        <w:ind w:firstLine="70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rtl w:val="0"/>
        </w:rPr>
        <w:t xml:space="preserve">NOTE! The Client reserves the right to change the volume of services. The volume of services will be determined jointly with the Project Manager of the Charitable Foundation “Right to Protection.” The preliminary expected volume of services is outlined in Section 1 of this tender announcement</w:t>
      </w:r>
      <w:r w:rsidDel="00000000" w:rsidR="00000000" w:rsidRPr="00000000">
        <w:rPr>
          <w:rFonts w:ascii="Times New Roman" w:cs="Times New Roman" w:eastAsia="Times New Roman" w:hAnsi="Times New Roman"/>
          <w:color w:val="333333"/>
          <w:highlight w:val="white"/>
          <w:rtl w:val="0"/>
        </w:rPr>
        <w:t xml:space="preserve">.</w:t>
      </w:r>
    </w:p>
    <w:p w:rsidR="00000000" w:rsidDel="00000000" w:rsidP="00000000" w:rsidRDefault="00000000" w:rsidRPr="00000000" w14:paraId="00000095">
      <w:pPr>
        <w:tabs>
          <w:tab w:val="left" w:leader="none" w:pos="1134"/>
        </w:tabs>
        <w:spacing w:after="20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Taxes, fees, or payments due to the Government of Ukraine and/or the governments of any other countries shall be paid by the Participant in accordance with the received amount.</w:t>
      </w:r>
    </w:p>
    <w:p w:rsidR="00000000" w:rsidDel="00000000" w:rsidP="00000000" w:rsidRDefault="00000000" w:rsidRPr="00000000" w14:paraId="00000096">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Participant must not be listed on the sanction lists of Ukraine, the EU, the USA, Canada, Japan, or the United Kingdom.</w:t>
      </w:r>
    </w:p>
    <w:p w:rsidR="00000000" w:rsidDel="00000000" w:rsidP="00000000" w:rsidRDefault="00000000" w:rsidRPr="00000000" w14:paraId="00000097">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Participant must not be in the process of terminating their individual entrepreneurship (IE) status.</w:t>
      </w:r>
    </w:p>
    <w:p w:rsidR="00000000" w:rsidDel="00000000" w:rsidP="00000000" w:rsidRDefault="00000000" w:rsidRPr="00000000" w14:paraId="00000098">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Materials prepared and submitted for the tender must not be developed using artificial intelligence.</w:t>
      </w:r>
    </w:p>
    <w:p w:rsidR="00000000" w:rsidDel="00000000" w:rsidP="00000000" w:rsidRDefault="00000000" w:rsidRPr="00000000" w14:paraId="00000099">
      <w:pPr>
        <w:numPr>
          <w:ilvl w:val="0"/>
          <w:numId w:val="4"/>
        </w:numPr>
        <w:tabs>
          <w:tab w:val="left" w:leader="none" w:pos="1134"/>
        </w:tabs>
        <w:spacing w:after="240" w:before="240" w:line="256" w:lineRule="auto"/>
        <w:ind w:left="720" w:hanging="360"/>
        <w:jc w:val="both"/>
        <w:rPr/>
      </w:pPr>
      <w:bookmarkStart w:colFirst="0" w:colLast="0" w:name="_heading=h.tk5s7hgch1dk" w:id="6"/>
      <w:bookmarkEnd w:id="6"/>
      <w:r w:rsidDel="00000000" w:rsidR="00000000" w:rsidRPr="00000000">
        <w:rPr>
          <w:rFonts w:ascii="Times New Roman" w:cs="Times New Roman" w:eastAsia="Times New Roman" w:hAnsi="Times New Roman"/>
          <w:b w:val="1"/>
          <w:bCs w:val="1"/>
          <w:rtl w:val="0"/>
        </w:rPr>
        <w:t xml:space="preserve">Tender Results and Awarding Procedure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The proposal must be prepared </w:t>
      </w:r>
      <w:r w:rsidDel="00000000" w:rsidR="00000000" w:rsidRPr="00000000">
        <w:rPr>
          <w:rFonts w:ascii="Times New Roman" w:cs="Times New Roman" w:eastAsia="Times New Roman" w:hAnsi="Times New Roman"/>
          <w:b w:val="1"/>
          <w:bCs w:val="1"/>
          <w:u w:val="single"/>
          <w:rtl w:val="0"/>
        </w:rPr>
        <w:t xml:space="preserve">in Ukrainian</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A">
      <w:pPr>
        <w:tabs>
          <w:tab w:val="left" w:leader="none" w:pos="1134"/>
        </w:tabs>
        <w:spacing w:after="200" w:line="25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Please provide the following set of documents:</w:t>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Contact information of the tender participant and the service provider (if different);</w:t>
      </w:r>
    </w:p>
    <w:p w:rsidR="00000000" w:rsidDel="00000000" w:rsidP="00000000" w:rsidRDefault="00000000" w:rsidRPr="00000000" w14:paraId="000000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Diploma (if no diploma is provided, the application cannot be considered);</w:t>
      </w:r>
    </w:p>
    <w:p w:rsidR="00000000" w:rsidDel="00000000" w:rsidP="00000000" w:rsidRDefault="00000000" w:rsidRPr="00000000" w14:paraId="000000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CV of the service provider with a detailed description of relevant experience over the last 3 years, both in an expert capacity (in the field of organizing the activities of Safe Spaces for Women and Children) and as a mentor (including a list of organizations or institutions to which mentoring services were provided);</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 1 – Description of the vision for the implementation of the Terms of Reference (maximum 1.5 pages, Times New Roman, font size 11), in PDF format with signature and seal, if available;</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 B – Financial Proposal. The financial proposal must be submitted in the prescribed format using Ukrainian hryvnia as the currency. The financial proposal must be signed and sealed, if available. The Participant independently determines the price for the services proposed under the Procurement Agreement. Additional services or costs not agreed upon and not stipulated in the Agreement will not be paid;</w:t>
      </w:r>
    </w:p>
    <w:p w:rsidR="00000000" w:rsidDel="00000000" w:rsidP="00000000" w:rsidRDefault="00000000" w:rsidRPr="00000000" w14:paraId="000000A0">
      <w:pPr>
        <w:numPr>
          <w:ilvl w:val="0"/>
          <w:numId w:val="5"/>
        </w:numPr>
        <w:tabs>
          <w:tab w:val="left" w:leader="none" w:pos="1134"/>
        </w:tabs>
        <w:spacing w:line="256"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Annex A (sample provided) must be signed and stamped, if applicable.</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Recommendation letters or letters of appreciation from NGOs, businesses, or governmental bodies relevant to the objectives of this project;</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Scanned copies of registration documents (documents issued by authorized governmental bodies confirming the registration of the tender participant in Ukraine as an individual entrepreneur (IE, Group 3)).</w:t>
      </w:r>
      <w:r w:rsidDel="00000000" w:rsidR="00000000" w:rsidRPr="00000000">
        <w:rPr>
          <w:rtl w:val="0"/>
        </w:rPr>
      </w:r>
    </w:p>
    <w:p w:rsidR="00000000" w:rsidDel="00000000" w:rsidP="00000000" w:rsidRDefault="00000000" w:rsidRPr="00000000" w14:paraId="000000A3">
      <w:pPr>
        <w:tabs>
          <w:tab w:val="left" w:leader="none" w:pos="1134"/>
        </w:tabs>
        <w:spacing w:after="200" w:before="180" w:line="256" w:lineRule="auto"/>
        <w:jc w:val="both"/>
        <w:rPr>
          <w:rFonts w:ascii="Times New Roman" w:cs="Times New Roman" w:eastAsia="Times New Roman" w:hAnsi="Times New Roman"/>
          <w:b w:val="1"/>
          <w:bCs w:val="1"/>
        </w:rPr>
      </w:pPr>
      <w:bookmarkStart w:colFirst="0" w:colLast="0" w:name="_heading=h.696e8lhboerz" w:id="7"/>
      <w:bookmarkEnd w:id="7"/>
      <w:r w:rsidDel="00000000" w:rsidR="00000000" w:rsidRPr="00000000">
        <w:rPr>
          <w:rFonts w:ascii="Times New Roman" w:cs="Times New Roman" w:eastAsia="Times New Roman" w:hAnsi="Times New Roman"/>
          <w:b w:val="1"/>
          <w:bCs w:val="1"/>
          <w:rtl w:val="0"/>
        </w:rPr>
        <w:t xml:space="preserve">6. Tender Results and Awarding Procedure</w:t>
      </w:r>
    </w:p>
    <w:p w:rsidR="00000000" w:rsidDel="00000000" w:rsidP="00000000" w:rsidRDefault="00000000" w:rsidRPr="00000000" w14:paraId="000000A4">
      <w:pPr>
        <w:tabs>
          <w:tab w:val="left" w:leader="none" w:pos="1134"/>
        </w:tabs>
        <w:spacing w:after="200" w:lineRule="auto"/>
        <w:ind w:left="120"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evaluation of tender proposals will consist of 70% based on the technical proposal and 30% based on the financial proposal.</w:t>
      </w:r>
    </w:p>
    <w:tbl>
      <w:tblPr>
        <w:tblStyle w:val="Table4"/>
        <w:tblW w:w="95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820"/>
        <w:gridCol w:w="5100"/>
        <w:gridCol w:w="1095"/>
        <w:tblGridChange w:id="0">
          <w:tblGrid>
            <w:gridCol w:w="495"/>
            <w:gridCol w:w="2820"/>
            <w:gridCol w:w="5100"/>
            <w:gridCol w:w="1095"/>
          </w:tblGrid>
        </w:tblGridChange>
      </w:tblGrid>
      <w:tr>
        <w:trPr>
          <w:cantSplit w:val="0"/>
          <w:trHeight w:val="450"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A5">
            <w:pPr>
              <w:tabs>
                <w:tab w:val="left" w:leader="none" w:pos="1134"/>
              </w:tabs>
              <w:spacing w:after="200" w:line="256" w:lineRule="auto"/>
              <w:jc w:val="both"/>
              <w:rPr>
                <w:rFonts w:ascii="Times New Roman" w:cs="Times New Roman" w:eastAsia="Times New Roman" w:hAnsi="Times New Roman"/>
                <w:b w:val="1"/>
                <w:bCs w:val="1"/>
              </w:rPr>
            </w:pPr>
            <w:bookmarkStart w:colFirst="0" w:colLast="0" w:name="_heading=h.b8enpm7ac43p" w:id="8"/>
            <w:bookmarkEnd w:id="8"/>
            <w:r w:rsidDel="00000000" w:rsidR="00000000" w:rsidRPr="00000000">
              <w:rPr>
                <w:rFonts w:ascii="Times New Roman" w:cs="Times New Roman" w:eastAsia="Times New Roman" w:hAnsi="Times New Roman"/>
                <w:b w:val="1"/>
                <w:bCs w:val="1"/>
                <w:rtl w:val="0"/>
              </w:rPr>
              <w:t xml:space="preserve">SCORING SCALE OF CRITERIA</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A9">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AA">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Evaluation Criteria</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tcPr>
          <w:p w:rsidR="00000000" w:rsidDel="00000000" w:rsidP="00000000" w:rsidRDefault="00000000" w:rsidRPr="00000000" w14:paraId="000000AB">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Assessment Methodology</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AC">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Maximum Score per Requirement</w:t>
            </w:r>
          </w:p>
        </w:tc>
      </w:tr>
      <w:tr>
        <w:trPr>
          <w:cantSplit w:val="0"/>
          <w:trHeight w:val="246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A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A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Level of Education.</w:t>
            </w:r>
          </w:p>
          <w:p w:rsidR="00000000" w:rsidDel="00000000" w:rsidP="00000000" w:rsidRDefault="00000000" w:rsidRPr="00000000" w14:paraId="000000A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is expected to have higher education (at least Bachelor’s degree) in one of the following fields: communications, marketing, management, non-profit management, public administration, law, humanities, finance, or economics.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B0">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Master’s or Specialist degree in relevant fields listed..</w:t>
            </w:r>
          </w:p>
          <w:p w:rsidR="00000000" w:rsidDel="00000000" w:rsidP="00000000" w:rsidRDefault="00000000" w:rsidRPr="00000000" w14:paraId="000000B1">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5 points: Bachelor’s degree in relevant fields listed.</w:t>
            </w:r>
          </w:p>
          <w:p w:rsidR="00000000" w:rsidDel="00000000" w:rsidP="00000000" w:rsidRDefault="00000000" w:rsidRPr="00000000" w14:paraId="000000B2">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0 points: No higher education, or no information/copies of diplomas provided, or education is not relevant to the requirements.</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20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B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CV.</w:t>
            </w:r>
          </w:p>
          <w:p w:rsidR="00000000" w:rsidDel="00000000" w:rsidP="00000000" w:rsidRDefault="00000000" w:rsidRPr="00000000" w14:paraId="000000B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must provide a detailed CV. The evaluation will be based on the relevance, completeness, and level of detail of the experience, skills, and achievements.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B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 The CV provides comprehensive and detailed information relevant to the assignment, including responsibilities, skills, achievements, developed materials, and mentoring experience. The CV is up-to-date and covers at least the last 5 years of professional activity.</w:t>
            </w:r>
          </w:p>
          <w:p w:rsidR="00000000" w:rsidDel="00000000" w:rsidP="00000000" w:rsidRDefault="00000000" w:rsidRPr="00000000" w14:paraId="000000B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The CV provides general information about relevant experience and areas of work without detailed description of skills or achievements. The CV is up-to-date and covers at least the last 3 years</w:t>
            </w:r>
          </w:p>
          <w:p w:rsidR="00000000" w:rsidDel="00000000" w:rsidP="00000000" w:rsidRDefault="00000000" w:rsidRPr="00000000" w14:paraId="000000B9">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points: The CV shows no recent relevant experience within the last 3 years but includes some previous relevant experience.</w:t>
            </w:r>
          </w:p>
          <w:p w:rsidR="00000000" w:rsidDel="00000000" w:rsidP="00000000" w:rsidRDefault="00000000" w:rsidRPr="00000000" w14:paraId="000000BA">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BB">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points: No CV provided or the experience is not relevant to the assignment.</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20</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B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Description of the Approach to Implementation of the Technical Assignment.</w:t>
            </w:r>
          </w:p>
          <w:p w:rsidR="00000000" w:rsidDel="00000000" w:rsidP="00000000" w:rsidRDefault="00000000" w:rsidRPr="00000000" w14:paraId="000000B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must provide a description of their approach to implementing the technical assignment (Annex 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 – The description is detailed, well-structured, aligned with the requested format, and fully relevant to the assignment.</w:t>
            </w:r>
          </w:p>
          <w:p w:rsidR="00000000" w:rsidDel="00000000" w:rsidP="00000000" w:rsidRDefault="00000000" w:rsidRPr="00000000" w14:paraId="000000C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 The description is detailed but does not include specific mentoring questions or approaches for guiding the mentoring process</w:t>
            </w:r>
          </w:p>
          <w:p w:rsidR="00000000" w:rsidDel="00000000" w:rsidP="00000000" w:rsidRDefault="00000000" w:rsidRPr="00000000" w14:paraId="000000C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points – The description is general and only partially related to the assignment.</w:t>
            </w:r>
          </w:p>
          <w:p w:rsidR="00000000" w:rsidDel="00000000" w:rsidP="00000000" w:rsidRDefault="00000000" w:rsidRPr="00000000" w14:paraId="000000C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points - The description is provided but does not correspond to the assignmen.</w:t>
            </w:r>
          </w:p>
          <w:p w:rsidR="00000000" w:rsidDel="00000000" w:rsidP="00000000" w:rsidRDefault="00000000" w:rsidRPr="00000000" w14:paraId="000000C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points - No description provided or not relevant to the assignment. </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C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Experience Working with Civil Society Organizations.</w:t>
            </w:r>
          </w:p>
          <w:p w:rsidR="00000000" w:rsidDel="00000000" w:rsidP="00000000" w:rsidRDefault="00000000" w:rsidRPr="00000000" w14:paraId="000000C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must have experience providing services to civil society organizations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 Significant experience in advocacy at the local level, including advocacy for social service provision</w:t>
            </w:r>
          </w:p>
          <w:p w:rsidR="00000000" w:rsidDel="00000000" w:rsidP="00000000" w:rsidRDefault="00000000" w:rsidRPr="00000000" w14:paraId="000000C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 Limited or partially relevant experience in advocacy or social service provision.</w:t>
            </w:r>
          </w:p>
          <w:p w:rsidR="00000000" w:rsidDel="00000000" w:rsidP="00000000" w:rsidRDefault="00000000" w:rsidRPr="00000000" w14:paraId="000000C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points - No relevant experience in advocacy or work with civil society organizations</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bl>
    <w:p w:rsidR="00000000" w:rsidDel="00000000" w:rsidP="00000000" w:rsidRDefault="00000000" w:rsidRPr="00000000" w14:paraId="000000CD">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tabs>
          <w:tab w:val="left" w:leader="none" w:pos="1134"/>
        </w:tabs>
        <w:spacing w:line="240" w:lineRule="auto"/>
        <w:ind w:left="-566" w:firstLine="0"/>
        <w:jc w:val="both"/>
        <w:rPr>
          <w:rFonts w:ascii="Times New Roman" w:cs="Times New Roman" w:eastAsia="Times New Roman" w:hAnsi="Times New Roman"/>
          <w:i w:val="1"/>
          <w:iCs w:val="1"/>
        </w:rPr>
      </w:pPr>
      <w:bookmarkStart w:colFirst="0" w:colLast="0" w:name="_heading=h.mj0ilku6jh6z" w:id="9"/>
      <w:bookmarkEnd w:id="9"/>
      <w:r w:rsidDel="00000000" w:rsidR="00000000" w:rsidRPr="00000000">
        <w:rPr>
          <w:rFonts w:ascii="Times New Roman" w:cs="Times New Roman" w:eastAsia="Times New Roman" w:hAnsi="Times New Roman"/>
          <w:i w:val="1"/>
          <w:iCs w:val="1"/>
          <w:rtl w:val="0"/>
        </w:rPr>
        <w:t xml:space="preserve">The provision of services is conducted within the framework of the project ‘Integrated response on protection, health and emergency for communities at risk in Dnipropetrovska and Kharkivska oblasts’ funded by Italian Cooperation</w:t>
      </w:r>
    </w:p>
    <w:sectPr>
      <w:pgSz w:h="16834" w:w="11909" w:orient="portrait"/>
      <w:pgMar w:bottom="1440" w:top="992.1259842519685" w:left="1440" w:right="97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paragraph" w:styleId="a7">
    <w:name w:val="List Paragraph"/>
    <w:basedOn w:val="a"/>
    <w:uiPriority w:val="34"/>
    <w:qFormat w:val="1"/>
    <w:rsid w:val="00FF791A"/>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5Ivb6dcHSuIExlxJDo8AlIuZQ==">CgMxLjAyDmgud2RoNXo0YWU5bWh4Mg5oLjJneGNndGk2dDMxcTIOaC51cjhybmt5NG1iOTMyDmgueXByY203aXBpdHZ1Mg5oLnNjenZsZDRuN2lucjIOaC4zeGlvdjN4bmh3a2oyDmgudGs1czdoZ2NoMWRrMg5oLjY5NmU4bGhib2VyejIOaC5iOGVucG03YWM0M3AyDmgubWowaWxrdTZqaDZ6OABqNwoUc3VnZ2VzdC53ZTJ6aTlhbWhlcmkSH9CQ0LvRjNC+0L3QsCDQnNCw0YLQstGW0LnRh9GD0LpyITE3dzRlLU9KdmFPcHVNdkoyT2praTE0TVJxSllvbU1L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2026-03-23T07:39:00Z</dcterms:created>
</cp:coreProperties>
</file>