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right="-466.062992125984"/>
        <w:jc w:val="center"/>
        <w:rPr>
          <w:b w:val="1"/>
          <w:color w:val="2b333d"/>
          <w:sz w:val="20"/>
          <w:szCs w:val="20"/>
        </w:rPr>
      </w:pPr>
      <w:r w:rsidDel="00000000" w:rsidR="00000000" w:rsidRPr="00000000">
        <w:rPr>
          <w:b w:val="1"/>
          <w:color w:val="2b333d"/>
          <w:sz w:val="20"/>
          <w:szCs w:val="20"/>
          <w:rtl w:val="0"/>
        </w:rPr>
        <w:t xml:space="preserve">БРИФ НА СТВОРЕННЯ ВІДЕОМАТЕРІАЛІВ</w:t>
      </w:r>
    </w:p>
    <w:tbl>
      <w:tblPr>
        <w:tblStyle w:val="Table1"/>
        <w:tblW w:w="10290.0" w:type="dxa"/>
        <w:jc w:val="left"/>
        <w:tblInd w:w="-537.0" w:type="dxa"/>
        <w:tblBorders>
          <w:top w:color="2b333d" w:space="0" w:sz="4" w:val="single"/>
          <w:left w:color="2b333d" w:space="0" w:sz="4" w:val="single"/>
          <w:bottom w:color="2b333d" w:space="0" w:sz="4" w:val="single"/>
          <w:right w:color="2b333d" w:space="0" w:sz="4" w:val="single"/>
          <w:insideH w:color="2b333d" w:space="0" w:sz="4" w:val="single"/>
          <w:insideV w:color="2b333d" w:space="0" w:sz="4" w:val="single"/>
        </w:tblBorders>
        <w:tblLayout w:type="fixed"/>
        <w:tblLook w:val="0000"/>
      </w:tblPr>
      <w:tblGrid>
        <w:gridCol w:w="3195"/>
        <w:gridCol w:w="7095"/>
        <w:tblGridChange w:id="0">
          <w:tblGrid>
            <w:gridCol w:w="3195"/>
            <w:gridCol w:w="7095"/>
          </w:tblGrid>
        </w:tblGridChange>
      </w:tblGrid>
      <w:tr>
        <w:trPr>
          <w:cantSplit w:val="0"/>
          <w:trHeight w:val="513.49121093750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Клієнт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БФ «Право на захист»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Найменування завдання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200" w:line="276" w:lineRule="auto"/>
              <w:ind w:left="0" w:firstLine="0"/>
              <w:rPr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color w:val="444746"/>
                <w:sz w:val="21"/>
                <w:szCs w:val="21"/>
                <w:rtl w:val="0"/>
              </w:rPr>
              <w:t xml:space="preserve">Розробка відеоролика з такими переліком активностей: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color w:val="444746"/>
                <w:sz w:val="21"/>
                <w:szCs w:val="21"/>
                <w:rtl w:val="0"/>
              </w:rPr>
              <w:t xml:space="preserve">зйомка героїв.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color w:val="444746"/>
                <w:sz w:val="21"/>
                <w:szCs w:val="21"/>
                <w:rtl w:val="0"/>
              </w:rPr>
              <w:t xml:space="preserve">зйомка відео для перекриття закадрового тексту  в громадах, робота з наданими відео.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color w:val="444746"/>
                <w:sz w:val="21"/>
                <w:szCs w:val="21"/>
                <w:rtl w:val="0"/>
              </w:rPr>
              <w:t xml:space="preserve">неважка графіка.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color w:val="444746"/>
                <w:sz w:val="21"/>
                <w:szCs w:val="21"/>
                <w:rtl w:val="0"/>
              </w:rPr>
              <w:t xml:space="preserve">фінальний монтаж.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color w:val="444746"/>
                <w:sz w:val="21"/>
                <w:szCs w:val="21"/>
                <w:rtl w:val="0"/>
              </w:rPr>
              <w:t xml:space="preserve">начитка.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spacing w:after="200" w:line="276" w:lineRule="auto"/>
              <w:ind w:left="720" w:hanging="360"/>
              <w:rPr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color w:val="444746"/>
                <w:sz w:val="21"/>
                <w:szCs w:val="21"/>
                <w:rtl w:val="0"/>
              </w:rPr>
              <w:t xml:space="preserve">озвучка (англійською мовою)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spacing w:after="200" w:line="276" w:lineRule="auto"/>
              <w:ind w:left="720" w:hanging="360"/>
              <w:rPr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color w:val="444746"/>
                <w:sz w:val="21"/>
                <w:szCs w:val="21"/>
                <w:rtl w:val="0"/>
              </w:rPr>
              <w:t xml:space="preserve">власна техніка для зйомки (камери, мікрофони, світло, штатив тощо)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Тематика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Відновлення та розвиток територіальних громад України в умовах повномасштабної війни. Акцент на комплексний підхід: економіка, інфраструктура, соціальні послуги, згуртованість.</w:t>
            </w:r>
          </w:p>
        </w:tc>
      </w:tr>
      <w:tr>
        <w:trPr>
          <w:cantSplit w:val="0"/>
          <w:trHeight w:val="623.955078124999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Бажані формати матеріалів та кількість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Один відеосюжет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Візуальне вирішення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Поєднання документального стилю з інфографікою та графічними вставками. Кадри з громад (власні/архівні/партнерські), емоційна частина через синхрони, візуальні метафори (тріснута дорога, бинт, пустий план, кран, сонце тощо). Графіка сучасна, з іконками, стилізована, анімована, але не перевантажена.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Хронометраж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до 5 хвилин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Місце промотування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Тематичні події, форуми, конференції, презентації/звітність перед донорами, соціальні мережі у перспективі.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Мета матеріалів, що створюються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jc w:val="both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Показати ефективність комплексного підходу до відновлення громад.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jc w:val="both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Підкреслити роль Фонду як надійного партнера у впровадженні активностей в межах такого підходу.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200" w:line="276" w:lineRule="auto"/>
              <w:ind w:left="720" w:hanging="360"/>
              <w:jc w:val="both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Сформувати бачення необхідності і аргументований заклик до довгострокової підтримки громад.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Координати представника замовника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Єлизавета Будас  +38 (099) 464 05 41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y.budas@r2p.org.ua</w:t>
              </w:r>
            </w:hyperlink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spacing w:after="200" w:line="276" w:lineRule="auto"/>
        <w:rPr>
          <w:b w:val="1"/>
          <w:color w:val="2b333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Ind w:w="-522.0" w:type="dxa"/>
        <w:tblBorders>
          <w:top w:color="2b333d" w:space="0" w:sz="4" w:val="single"/>
          <w:left w:color="2b333d" w:space="0" w:sz="4" w:val="single"/>
          <w:bottom w:color="2b333d" w:space="0" w:sz="4" w:val="single"/>
          <w:right w:color="2b333d" w:space="0" w:sz="4" w:val="single"/>
          <w:insideH w:color="2b333d" w:space="0" w:sz="4" w:val="single"/>
          <w:insideV w:color="2b333d" w:space="0" w:sz="4" w:val="single"/>
        </w:tblBorders>
        <w:tblLayout w:type="fixed"/>
        <w:tblLook w:val="0000"/>
      </w:tblPr>
      <w:tblGrid>
        <w:gridCol w:w="3195"/>
        <w:gridCol w:w="7125"/>
        <w:tblGridChange w:id="0">
          <w:tblGrid>
            <w:gridCol w:w="3195"/>
            <w:gridCol w:w="712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1d5eac" w:val="clear"/>
            <w:vAlign w:val="center"/>
          </w:tcPr>
          <w:p w:rsidR="00000000" w:rsidDel="00000000" w:rsidP="00000000" w:rsidRDefault="00000000" w:rsidRPr="00000000" w14:paraId="0000001E">
            <w:pPr>
              <w:spacing w:after="200" w:line="276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ОПИС ОРГАНІЗАЦІЇ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Організація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Благодійний фонд “Право на захист” </w:t>
            </w:r>
          </w:p>
        </w:tc>
      </w:tr>
      <w:tr>
        <w:trPr>
          <w:cantSplit w:val="0"/>
          <w:trHeight w:val="917.910156249999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Царина діяльності компанії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both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Комплексна допомога ВПО та постраждалим від війни; допомога ветеранам; </w:t>
            </w:r>
            <w:r w:rsidDel="00000000" w:rsidR="00000000" w:rsidRPr="00000000">
              <w:rPr>
                <w:color w:val="0c0c0c"/>
                <w:sz w:val="20"/>
                <w:szCs w:val="20"/>
                <w:rtl w:val="0"/>
              </w:rPr>
              <w:t xml:space="preserve">посилення спроможності локальних організацій та інше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Сайт бренду/компанії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Сайт</w:t>
              </w:r>
            </w:hyperlink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, </w:t>
            </w:r>
            <w:hyperlink r:id="rId9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ФБ</w:t>
              </w:r>
            </w:hyperlink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Інстаграм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Цільова аудиторія відеоматеріалів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Представники донорів та партнери</w:t>
            </w:r>
          </w:p>
        </w:tc>
      </w:tr>
    </w:tbl>
    <w:p w:rsidR="00000000" w:rsidDel="00000000" w:rsidP="00000000" w:rsidRDefault="00000000" w:rsidRPr="00000000" w14:paraId="00000028">
      <w:pPr>
        <w:spacing w:after="200" w:line="276" w:lineRule="auto"/>
        <w:rPr>
          <w:b w:val="1"/>
          <w:color w:val="2b333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5.0" w:type="dxa"/>
        <w:jc w:val="left"/>
        <w:tblInd w:w="-537.0" w:type="dxa"/>
        <w:tblBorders>
          <w:top w:color="2b333d" w:space="0" w:sz="4" w:val="single"/>
          <w:left w:color="2b333d" w:space="0" w:sz="4" w:val="single"/>
          <w:bottom w:color="2b333d" w:space="0" w:sz="4" w:val="single"/>
          <w:right w:color="2b333d" w:space="0" w:sz="4" w:val="single"/>
          <w:insideH w:color="2b333d" w:space="0" w:sz="4" w:val="single"/>
          <w:insideV w:color="2b333d" w:space="0" w:sz="4" w:val="single"/>
        </w:tblBorders>
        <w:tblLayout w:type="fixed"/>
        <w:tblLook w:val="0000"/>
      </w:tblPr>
      <w:tblGrid>
        <w:gridCol w:w="3195"/>
        <w:gridCol w:w="7140"/>
        <w:tblGridChange w:id="0">
          <w:tblGrid>
            <w:gridCol w:w="3195"/>
            <w:gridCol w:w="714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1d5eac" w:val="clear"/>
            <w:vAlign w:val="center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ОПИС МАТЕРІАЛІВ, ЩО СТВОРЮЮТЬСЯ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Ідея/побажання (якщо є)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Продемонструвати, що без системного партнерства громади не можуть відновлюватись і розвиватись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Візуально підкреслити масштаб і багатовекторність проблем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Зйомки коментарів, стану громади, цікаві художні рішення.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49121093750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Обов'язкові елементи в кадрі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Лого БФ “Право на захист”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Обов’язковий текст у кадрі (слоґан, тощо)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Текст погоджених графік (візуальних елементів), субтитри, титрування спікерів.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Лексичне  поле (набір слів, фраз, які відображають філософію бренду і відповідають цілям даної кампанії)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Стійкість, комплексний підхід, розвиток, згуртованість, стратегія, партнерство, громада, інституції, відбудова, фінансова спроможність, довгострокова перспектива, підтримка, нові підходи, відновлення, якість життя, взаємодія, реальні зміни, економічна включеність.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1d5eac" w:val="clear"/>
            <w:vAlign w:val="center"/>
          </w:tcPr>
          <w:p w:rsidR="00000000" w:rsidDel="00000000" w:rsidP="00000000" w:rsidRDefault="00000000" w:rsidRPr="00000000" w14:paraId="00000035">
            <w:pPr>
              <w:spacing w:after="200" w:line="276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СТИЛІСТИКА МАТЕРІАЛІВ, ЩО СТВОРЮЮТЬСЯ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Музичний  супровід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рекомендація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Звуковий супровід (текст начитування диктора та мова начитування)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англомовна озвучка + субтитри там де синхрони (або переклад)</w:t>
            </w:r>
          </w:p>
        </w:tc>
      </w:tr>
      <w:tr>
        <w:trPr>
          <w:cantSplit w:val="0"/>
          <w:trHeight w:val="344.4775390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Референси (приклади)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200" w:line="276" w:lineRule="auto"/>
        <w:rPr>
          <w:color w:val="2b333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35.0" w:type="dxa"/>
        <w:jc w:val="left"/>
        <w:tblInd w:w="-537.0" w:type="dxa"/>
        <w:tblBorders>
          <w:top w:color="2b333d" w:space="0" w:sz="4" w:val="single"/>
          <w:left w:color="2b333d" w:space="0" w:sz="4" w:val="single"/>
          <w:bottom w:color="2b333d" w:space="0" w:sz="4" w:val="single"/>
          <w:right w:color="2b333d" w:space="0" w:sz="4" w:val="single"/>
          <w:insideH w:color="2b333d" w:space="0" w:sz="4" w:val="single"/>
          <w:insideV w:color="2b333d" w:space="0" w:sz="4" w:val="single"/>
        </w:tblBorders>
        <w:tblLayout w:type="fixed"/>
        <w:tblLook w:val="0000"/>
      </w:tblPr>
      <w:tblGrid>
        <w:gridCol w:w="3225"/>
        <w:gridCol w:w="7110"/>
        <w:tblGridChange w:id="0">
          <w:tblGrid>
            <w:gridCol w:w="3225"/>
            <w:gridCol w:w="711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1d5eac" w:val="clear"/>
            <w:vAlign w:val="center"/>
          </w:tcPr>
          <w:p w:rsidR="00000000" w:rsidDel="00000000" w:rsidP="00000000" w:rsidRDefault="00000000" w:rsidRPr="00000000" w14:paraId="0000003E">
            <w:pPr>
              <w:spacing w:after="200" w:line="276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МАТЕРІАЛИ, ЩО Є В НАЯВНОСТІ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Надані вихідні матеріали (логотип у векторі .ai, брендбук, шрифт)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Логотипи БФ,  гайди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Надані матеріали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драфт сценарію, перелік спікерів і локацій, кілька відео для закадрів (від місцевої влади + вертикальна професійна зйомка заходів)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Надані аудіоматеріали (.wav)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46">
            <w:pPr>
              <w:spacing w:after="200" w:line="276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b333d"/>
                <w:sz w:val="20"/>
                <w:szCs w:val="20"/>
                <w:rtl w:val="0"/>
              </w:rPr>
              <w:t xml:space="preserve">ОРГАНІЗАЦІЙНІ МОМЕНТИ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Узгодження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Обов’язкове узгодження з БФ на етапах: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пропозиції щодо існуючої концепції відео, візуальних складників і художніх прийомів.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підготовка до зйомок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підготовка до монтажу фінального відеоматеріалу</w:t>
            </w:r>
          </w:p>
          <w:p w:rsidR="00000000" w:rsidDel="00000000" w:rsidP="00000000" w:rsidRDefault="00000000" w:rsidRPr="00000000" w14:paraId="0000004D">
            <w:pPr>
              <w:spacing w:after="200" w:line="276" w:lineRule="auto"/>
              <w:ind w:left="0" w:firstLine="0"/>
              <w:rPr>
                <w:b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b333d"/>
                <w:sz w:val="20"/>
                <w:szCs w:val="20"/>
                <w:rtl w:val="0"/>
              </w:rPr>
              <w:t xml:space="preserve">Просимо три кола правок.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Якщо є, можливі обмеження майнових прав інтелектуальної власності, які передають Замовникові, термін дії, територія дії майнових прав і способи використання Творів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Маємо отримати повні права на відео, аби безперешкодно поширювати його (та промотувати за потреби). </w:t>
            </w:r>
          </w:p>
        </w:tc>
      </w:tr>
      <w:tr>
        <w:trPr>
          <w:cantSplit w:val="0"/>
          <w:trHeight w:val="618.49121093750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Інші орг. моменти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Потрібен досвід роботи з соціальними/гуманітарними темами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Century Gothic" w:cs="Century Gothic" w:eastAsia="Century Gothic" w:hAnsi="Century Gothic"/>
                <w:color w:val="2b333d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color w:val="2b333d"/>
                <w:sz w:val="20"/>
                <w:szCs w:val="20"/>
                <w:rtl w:val="0"/>
              </w:rPr>
              <w:t xml:space="preserve">Важлива зйомка щонайменше на 3-4 різних локаціях (</w:t>
            </w: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зокрема, наш офіс в Києві, а також зйомки в містах Макарів, Ірпінь, Буча), заплановано до 2-х знімальних днів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Необхідно забезпечити інтерв’ю, графіку, монтаж, якісний звук синхронів (мікрофон)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Начитка закадрового тексту (опційно, щоб у випадку перебільшення бюджету, від цього пункту могли відмовитись)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Сценарій частково вже готовий — є рамка, є ключові меседжі, але можуть бути зміни у формулювання і незначні правки стуктури.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https://docs.google.com/document/d/1mYvAaqsDR7uEDO49Kp5He3a8XYXKBS1A/edit</w:t>
              </w:r>
            </w:hyperlink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Координація з командою проєкту для узгодження героїв, локацій, меседжів</w:t>
            </w:r>
          </w:p>
        </w:tc>
      </w:tr>
      <w:tr>
        <w:trPr>
          <w:cantSplit w:val="0"/>
          <w:trHeight w:val="618.491210937500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Дата заповнення брифа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25.04.2025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Планова дата початку співпраці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перші числа травня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Планова дата здачі матеріалів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200" w:line="276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середина травня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200" w:line="276" w:lineRule="auto"/>
              <w:jc w:val="center"/>
              <w:rPr>
                <w:b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b333d"/>
                <w:sz w:val="20"/>
                <w:szCs w:val="20"/>
                <w:rtl w:val="0"/>
              </w:rPr>
              <w:t xml:space="preserve">Вимоги до подання пропозицій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200" w:line="240" w:lineRule="auto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1.Опис досвіду в створенні інформаційних відео з начиткою (з переліком)</w:t>
              <w:br w:type="textWrapping"/>
              <w:t xml:space="preserve">2. Портфоліо зі зразками подібних робіт</w:t>
              <w:br w:type="textWrapping"/>
              <w:t xml:space="preserve">3. Терміни виконання</w:t>
              <w:br w:type="textWrapping"/>
              <w:t xml:space="preserve">4. Установчі документи ФОП або юридичної особи</w:t>
              <w:br w:type="textWrapping"/>
              <w:t xml:space="preserve">5. Форма фінансової пропозиції (надається до заповнення)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200" w:line="276" w:lineRule="auto"/>
              <w:jc w:val="center"/>
              <w:rPr>
                <w:b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b333d"/>
                <w:sz w:val="20"/>
                <w:szCs w:val="20"/>
                <w:rtl w:val="0"/>
              </w:rPr>
              <w:t xml:space="preserve">Критерії відбору переможця</w:t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00" w:line="276" w:lineRule="auto"/>
              <w:jc w:val="both"/>
              <w:rPr>
                <w:strike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1. Наявність успішного досвіду в створенні інформаційних відео з начиткою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0-20 балів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20 балів - мають великий досвід в створенні таких відеоматеріалів (від 4), мають досвід роботи з інфографікою, візуальні рішення посилюють основні меседжі (потрібно надати приклади вже реалізованих проєктів)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10 балів - мають від 1 до 3 таких робіт в портфоліо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0 балів - не мають такого досвіду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200" w:line="276" w:lineRule="auto"/>
              <w:jc w:val="both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2. Оцінка Портфоліо </w:t>
            </w:r>
          </w:p>
          <w:p w:rsidR="00000000" w:rsidDel="00000000" w:rsidP="00000000" w:rsidRDefault="00000000" w:rsidRPr="00000000" w14:paraId="0000006A">
            <w:pPr>
              <w:spacing w:after="200" w:line="276" w:lineRule="auto"/>
              <w:jc w:val="both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00" w:line="276" w:lineRule="auto"/>
              <w:jc w:val="both"/>
              <w:rPr>
                <w:b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200" w:line="276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0-20 балів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Релевантність досвіду і портфоліо оцінюватиме технічна комісія за ознаками креативності контенту, візуального стилю, професійності зйомки та інших чинників. Перевагою буде досвід роботи у неприбутковому секторі (продакшн).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200" w:line="276" w:lineRule="auto"/>
              <w:jc w:val="both"/>
              <w:rPr>
                <w:b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3. Терміни виконання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0-30 балів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30 балів - виконають роботу впродовж двох тижнів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20 балів - потребують на виготовлення відео три тижні - місяць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0 - потребують на виконання робіт більше вказаних термінів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200" w:line="276" w:lineRule="auto"/>
              <w:rPr>
                <w:b w:val="1"/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b333d"/>
                <w:sz w:val="20"/>
                <w:szCs w:val="20"/>
                <w:rtl w:val="0"/>
              </w:rPr>
              <w:t xml:space="preserve">Всього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200" w:line="276" w:lineRule="auto"/>
              <w:jc w:val="center"/>
              <w:rPr>
                <w:color w:val="2b333d"/>
                <w:sz w:val="20"/>
                <w:szCs w:val="20"/>
              </w:rPr>
            </w:pPr>
            <w:r w:rsidDel="00000000" w:rsidR="00000000" w:rsidRPr="00000000">
              <w:rPr>
                <w:color w:val="2b333d"/>
                <w:sz w:val="20"/>
                <w:szCs w:val="20"/>
                <w:rtl w:val="0"/>
              </w:rPr>
              <w:t xml:space="preserve">70 балів</w:t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mYvAaqsDR7uEDO49Kp5He3a8XYXKBS1A/edit" TargetMode="External"/><Relationship Id="rId10" Type="http://schemas.openxmlformats.org/officeDocument/2006/relationships/hyperlink" Target="https://www.instagram.com/right2protection/" TargetMode="External"/><Relationship Id="rId9" Type="http://schemas.openxmlformats.org/officeDocument/2006/relationships/hyperlink" Target="https://www.facebook.com/right2protectio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y.budas@r2p.org.ua" TargetMode="External"/><Relationship Id="rId8" Type="http://schemas.openxmlformats.org/officeDocument/2006/relationships/hyperlink" Target="https://r2p.org.u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jiRkB2L9dgBXyWxHjYn2nY3sQ==">CgMxLjA4AHIhMVdxMExmQ3FDMjdlY1FuNEpyMG1ZOUpmd0M1Yy0yMHNZ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