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CA" w:rsidRPr="004216F3" w:rsidRDefault="003D1C5E">
      <w:pPr>
        <w:widowControl w:val="0"/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4216F3">
        <w:rPr>
          <w:rFonts w:ascii="Times New Roman" w:hAnsi="Times New Roman" w:cs="Times New Roman"/>
          <w:sz w:val="20"/>
          <w:szCs w:val="20"/>
        </w:rPr>
        <w:t>14 жовтня 2025 р.</w:t>
      </w:r>
    </w:p>
    <w:p w:rsidR="008723CA" w:rsidRPr="004216F3" w:rsidRDefault="008723CA">
      <w:pPr>
        <w:widowControl w:val="0"/>
        <w:spacing w:after="200"/>
        <w:jc w:val="both"/>
        <w:rPr>
          <w:rFonts w:ascii="Times New Roman" w:hAnsi="Times New Roman" w:cs="Times New Roman"/>
          <w:sz w:val="20"/>
          <w:szCs w:val="20"/>
        </w:rPr>
      </w:pPr>
    </w:p>
    <w:p w:rsidR="008723CA" w:rsidRPr="004216F3" w:rsidRDefault="003D1C5E">
      <w:pPr>
        <w:widowControl w:val="0"/>
        <w:spacing w:after="200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16F3">
        <w:rPr>
          <w:rFonts w:ascii="Times New Roman" w:hAnsi="Times New Roman" w:cs="Times New Roman"/>
          <w:b/>
          <w:sz w:val="20"/>
          <w:szCs w:val="20"/>
        </w:rPr>
        <w:t>Технічне завдання для закупівлі послуг</w:t>
      </w:r>
    </w:p>
    <w:p w:rsidR="008723CA" w:rsidRPr="004216F3" w:rsidRDefault="003D1C5E">
      <w:pPr>
        <w:widowControl w:val="0"/>
        <w:spacing w:after="200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16F3">
        <w:rPr>
          <w:rFonts w:ascii="Times New Roman" w:eastAsia="Roboto" w:hAnsi="Times New Roman" w:cs="Times New Roman"/>
          <w:b/>
          <w:color w:val="1F1F1F"/>
          <w:sz w:val="20"/>
          <w:szCs w:val="20"/>
          <w:highlight w:val="white"/>
        </w:rPr>
        <w:t xml:space="preserve">технічного дизайну/верстки, розробки макетів та підготовки файлів для друку </w:t>
      </w:r>
    </w:p>
    <w:p w:rsidR="008723CA" w:rsidRPr="004216F3" w:rsidRDefault="003D1C5E">
      <w:pPr>
        <w:widowControl w:val="0"/>
        <w:spacing w:after="20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216F3">
        <w:rPr>
          <w:rFonts w:ascii="Times New Roman" w:hAnsi="Times New Roman" w:cs="Times New Roman"/>
          <w:sz w:val="20"/>
          <w:szCs w:val="20"/>
        </w:rPr>
        <w:t xml:space="preserve">Благодійна організація «БЛАГОДІЙНИЙ ФОНД «ПРАВО НА ЗАХИСТ» (Далі – Фонд) реалізовує </w:t>
      </w:r>
      <w:proofErr w:type="spellStart"/>
      <w:r w:rsidRPr="004216F3">
        <w:rPr>
          <w:rFonts w:ascii="Times New Roman" w:hAnsi="Times New Roman" w:cs="Times New Roman"/>
          <w:sz w:val="20"/>
          <w:szCs w:val="20"/>
        </w:rPr>
        <w:t>проєкт</w:t>
      </w:r>
      <w:proofErr w:type="spellEnd"/>
      <w:r w:rsidRPr="004216F3">
        <w:rPr>
          <w:rFonts w:ascii="Times New Roman" w:hAnsi="Times New Roman" w:cs="Times New Roman"/>
          <w:sz w:val="20"/>
          <w:szCs w:val="20"/>
        </w:rPr>
        <w:t xml:space="preserve"> “Посилення спроможності громад через локалізовані дії та </w:t>
      </w:r>
      <w:proofErr w:type="spellStart"/>
      <w:r w:rsidRPr="004216F3">
        <w:rPr>
          <w:rFonts w:ascii="Times New Roman" w:hAnsi="Times New Roman" w:cs="Times New Roman"/>
          <w:sz w:val="20"/>
          <w:szCs w:val="20"/>
        </w:rPr>
        <w:t>багатосекторальну</w:t>
      </w:r>
      <w:proofErr w:type="spellEnd"/>
      <w:r w:rsidRPr="004216F3">
        <w:rPr>
          <w:rFonts w:ascii="Times New Roman" w:hAnsi="Times New Roman" w:cs="Times New Roman"/>
          <w:sz w:val="20"/>
          <w:szCs w:val="20"/>
        </w:rPr>
        <w:t xml:space="preserve"> екстрену підтримку в південних і східних регіонах України” здійснюється в межах </w:t>
      </w:r>
      <w:proofErr w:type="spellStart"/>
      <w:r w:rsidRPr="004216F3">
        <w:rPr>
          <w:rFonts w:ascii="Times New Roman" w:hAnsi="Times New Roman" w:cs="Times New Roman"/>
          <w:sz w:val="20"/>
          <w:szCs w:val="20"/>
        </w:rPr>
        <w:t>мультидонорського</w:t>
      </w:r>
      <w:proofErr w:type="spellEnd"/>
      <w:r w:rsidRPr="004216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6F3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4216F3">
        <w:rPr>
          <w:rFonts w:ascii="Times New Roman" w:hAnsi="Times New Roman" w:cs="Times New Roman"/>
          <w:sz w:val="20"/>
          <w:szCs w:val="20"/>
        </w:rPr>
        <w:t xml:space="preserve"> «Посилення постраждалих від війни громад України через місцеві ініці</w:t>
      </w:r>
      <w:r w:rsidRPr="004216F3">
        <w:rPr>
          <w:rFonts w:ascii="Times New Roman" w:hAnsi="Times New Roman" w:cs="Times New Roman"/>
          <w:sz w:val="20"/>
          <w:szCs w:val="20"/>
        </w:rPr>
        <w:t>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</w:t>
      </w:r>
      <w:r w:rsidRPr="004216F3">
        <w:rPr>
          <w:rFonts w:ascii="Times New Roman" w:hAnsi="Times New Roman" w:cs="Times New Roman"/>
          <w:sz w:val="20"/>
          <w:szCs w:val="20"/>
        </w:rPr>
        <w:t xml:space="preserve">риством міжнародного співробітництва (GIZ) </w:t>
      </w:r>
      <w:proofErr w:type="spellStart"/>
      <w:r w:rsidRPr="004216F3">
        <w:rPr>
          <w:rFonts w:ascii="Times New Roman" w:hAnsi="Times New Roman" w:cs="Times New Roman"/>
          <w:sz w:val="20"/>
          <w:szCs w:val="20"/>
        </w:rPr>
        <w:t>ГмбХ</w:t>
      </w:r>
      <w:proofErr w:type="spellEnd"/>
      <w:r w:rsidRPr="004216F3">
        <w:rPr>
          <w:rFonts w:ascii="Times New Roman" w:hAnsi="Times New Roman" w:cs="Times New Roman"/>
          <w:sz w:val="20"/>
          <w:szCs w:val="20"/>
        </w:rPr>
        <w:t>.</w:t>
      </w:r>
    </w:p>
    <w:p w:rsidR="008723CA" w:rsidRPr="004216F3" w:rsidRDefault="003D1C5E">
      <w:pPr>
        <w:widowControl w:val="0"/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4216F3">
        <w:rPr>
          <w:rFonts w:ascii="Times New Roman" w:hAnsi="Times New Roman" w:cs="Times New Roman"/>
          <w:b/>
          <w:sz w:val="20"/>
          <w:szCs w:val="20"/>
        </w:rPr>
        <w:t xml:space="preserve">Послуга, що закуповується: </w:t>
      </w:r>
      <w:r w:rsidRPr="004216F3">
        <w:rPr>
          <w:rFonts w:ascii="Times New Roman" w:hAnsi="Times New Roman" w:cs="Times New Roman"/>
          <w:color w:val="1F1F1F"/>
          <w:sz w:val="20"/>
          <w:szCs w:val="20"/>
          <w:highlight w:val="white"/>
        </w:rPr>
        <w:t xml:space="preserve">технічного дизайну/верстки, розробки макетів та підготовки файлів для друку. </w:t>
      </w:r>
    </w:p>
    <w:p w:rsidR="008723CA" w:rsidRPr="004216F3" w:rsidRDefault="003D1C5E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6F3">
        <w:rPr>
          <w:rFonts w:ascii="Times New Roman" w:hAnsi="Times New Roman" w:cs="Times New Roman"/>
          <w:b/>
          <w:color w:val="000000"/>
          <w:sz w:val="20"/>
          <w:szCs w:val="20"/>
        </w:rPr>
        <w:t>Формат надання послуг</w:t>
      </w:r>
      <w:r w:rsidRPr="004216F3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4216F3">
        <w:rPr>
          <w:rFonts w:ascii="Times New Roman" w:hAnsi="Times New Roman" w:cs="Times New Roman"/>
          <w:sz w:val="20"/>
          <w:szCs w:val="20"/>
        </w:rPr>
        <w:t xml:space="preserve">онлайн </w:t>
      </w:r>
    </w:p>
    <w:p w:rsidR="008723CA" w:rsidRPr="004216F3" w:rsidRDefault="003D1C5E">
      <w:pPr>
        <w:spacing w:after="200" w:line="240" w:lineRule="auto"/>
        <w:jc w:val="both"/>
        <w:rPr>
          <w:rFonts w:ascii="Times New Roman" w:hAnsi="Times New Roman" w:cs="Times New Roman"/>
          <w:strike/>
          <w:sz w:val="20"/>
          <w:szCs w:val="20"/>
          <w:highlight w:val="yellow"/>
        </w:rPr>
      </w:pPr>
      <w:r w:rsidRPr="004216F3">
        <w:rPr>
          <w:rFonts w:ascii="Times New Roman" w:hAnsi="Times New Roman" w:cs="Times New Roman"/>
          <w:b/>
          <w:color w:val="000000"/>
          <w:sz w:val="20"/>
          <w:szCs w:val="20"/>
        </w:rPr>
        <w:t>Період надання послуг:</w:t>
      </w:r>
      <w:r w:rsidRPr="004216F3">
        <w:rPr>
          <w:rFonts w:ascii="Times New Roman" w:hAnsi="Times New Roman" w:cs="Times New Roman"/>
          <w:sz w:val="20"/>
          <w:szCs w:val="20"/>
        </w:rPr>
        <w:t xml:space="preserve"> листопад 2025 р. – липень 2026 р.</w:t>
      </w:r>
    </w:p>
    <w:p w:rsidR="008723CA" w:rsidRPr="004216F3" w:rsidRDefault="003D1C5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216F3">
        <w:rPr>
          <w:rFonts w:ascii="Times New Roman" w:hAnsi="Times New Roman" w:cs="Times New Roman"/>
          <w:b/>
          <w:color w:val="000000"/>
          <w:sz w:val="20"/>
          <w:szCs w:val="20"/>
        </w:rPr>
        <w:t>Технічне завда</w:t>
      </w:r>
      <w:r w:rsidRPr="004216F3">
        <w:rPr>
          <w:rFonts w:ascii="Times New Roman" w:hAnsi="Times New Roman" w:cs="Times New Roman"/>
          <w:b/>
          <w:color w:val="000000"/>
          <w:sz w:val="20"/>
          <w:szCs w:val="20"/>
        </w:rPr>
        <w:t>ння в рамках надання послуг:</w:t>
      </w:r>
    </w:p>
    <w:p w:rsidR="008723CA" w:rsidRPr="004216F3" w:rsidRDefault="003D1C5E">
      <w:pPr>
        <w:spacing w:after="0" w:line="276" w:lineRule="auto"/>
        <w:rPr>
          <w:rFonts w:ascii="Times New Roman" w:eastAsia="Arial" w:hAnsi="Times New Roman" w:cs="Times New Roman"/>
          <w:sz w:val="20"/>
          <w:szCs w:val="20"/>
        </w:rPr>
      </w:pPr>
      <w:r w:rsidRPr="004216F3">
        <w:rPr>
          <w:rFonts w:ascii="Times New Roman" w:hAnsi="Times New Roman" w:cs="Times New Roman"/>
          <w:sz w:val="20"/>
          <w:szCs w:val="20"/>
        </w:rPr>
        <w:t xml:space="preserve">Розробити макети з </w:t>
      </w:r>
      <w:proofErr w:type="spellStart"/>
      <w:r w:rsidRPr="004216F3">
        <w:rPr>
          <w:rFonts w:ascii="Times New Roman" w:hAnsi="Times New Roman" w:cs="Times New Roman"/>
          <w:sz w:val="20"/>
          <w:szCs w:val="20"/>
        </w:rPr>
        <w:t>айдентикою</w:t>
      </w:r>
      <w:proofErr w:type="spellEnd"/>
      <w:r w:rsidRPr="004216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16F3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4216F3">
        <w:rPr>
          <w:rFonts w:ascii="Times New Roman" w:hAnsi="Times New Roman" w:cs="Times New Roman"/>
          <w:sz w:val="20"/>
          <w:szCs w:val="20"/>
        </w:rPr>
        <w:t xml:space="preserve"> відповідно до вимог БФ “Право на захист” для використання в електронному форматі або друку наступних продуктів: </w:t>
      </w:r>
    </w:p>
    <w:p w:rsidR="008723CA" w:rsidRDefault="008723C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sdt>
      <w:sdtPr>
        <w:tag w:val="goog_rdk_0"/>
        <w:id w:val="-680696579"/>
        <w:lock w:val="contentLocked"/>
      </w:sdtPr>
      <w:sdtEndPr/>
      <w:sdtContent>
        <w:tbl>
          <w:tblPr>
            <w:tblStyle w:val="aff"/>
            <w:tblW w:w="8595" w:type="dxa"/>
            <w:tblInd w:w="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705"/>
            <w:gridCol w:w="2025"/>
            <w:gridCol w:w="2415"/>
            <w:gridCol w:w="1950"/>
            <w:gridCol w:w="1500"/>
          </w:tblGrid>
          <w:tr w:rsidR="008723CA">
            <w:tc>
              <w:tcPr>
                <w:tcW w:w="7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8723C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  <w:tc>
              <w:tcPr>
                <w:tcW w:w="20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 xml:space="preserve">Завдання </w:t>
                </w:r>
              </w:p>
            </w:tc>
            <w:tc>
              <w:tcPr>
                <w:tcW w:w="24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Технічні характеристики кінцевого продукту</w:t>
                </w:r>
              </w:p>
            </w:tc>
            <w:tc>
              <w:tcPr>
                <w:tcW w:w="1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Результат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Період надан</w:t>
                </w:r>
                <w:bookmarkStart w:id="0" w:name="_GoBack"/>
                <w:bookmarkEnd w:id="0"/>
                <w:r>
                  <w:rPr>
                    <w:b/>
                  </w:rPr>
                  <w:t>ня послуг</w:t>
                </w:r>
              </w:p>
            </w:tc>
          </w:tr>
          <w:tr w:rsidR="008723CA">
            <w:trPr>
              <w:trHeight w:val="420"/>
            </w:trPr>
            <w:tc>
              <w:tcPr>
                <w:tcW w:w="70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8723CA">
                <w:pPr>
                  <w:widowControl w:val="0"/>
                  <w:spacing w:after="0" w:line="240" w:lineRule="auto"/>
                  <w:rPr>
                    <w:b/>
                  </w:rPr>
                </w:pPr>
              </w:p>
            </w:tc>
            <w:tc>
              <w:tcPr>
                <w:tcW w:w="7890" w:type="dxa"/>
                <w:gridSpan w:val="4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Розробка  макетів для поліграфічної продукції та підготовка файлів для друку</w:t>
                </w:r>
              </w:p>
            </w:tc>
          </w:tr>
          <w:tr w:rsidR="008723CA">
            <w:tc>
              <w:tcPr>
                <w:tcW w:w="70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8723CA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202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Сертифікат</w:t>
                </w:r>
              </w:p>
            </w:tc>
            <w:tc>
              <w:tcPr>
                <w:tcW w:w="241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Формат А4</w:t>
                </w:r>
              </w:p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Положення: горизонтальне</w:t>
                </w:r>
              </w:p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Картон Indigo Sirio pearl ice white, щільність 300 г/м2</w:t>
                </w:r>
              </w:p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Повноколірний друк</w:t>
                </w:r>
              </w:p>
            </w:tc>
            <w:tc>
              <w:tcPr>
                <w:tcW w:w="1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Розроблений макет  сертифікату з айдентикою проєкту та підготовлений файл до друку з урахуванням технічних вимог поліграфії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з дати підписання договору до липня 2026 р.</w:t>
                </w:r>
              </w:p>
            </w:tc>
          </w:tr>
          <w:tr w:rsidR="008723CA">
            <w:tc>
              <w:tcPr>
                <w:tcW w:w="70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8723CA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202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Брендована футболка "поло"</w:t>
                </w:r>
              </w:p>
            </w:tc>
            <w:tc>
              <w:tcPr>
                <w:tcW w:w="241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Колір: синій (волошковий)</w:t>
                </w:r>
              </w:p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Склад: бавовна 100%, бажана щільність від 190г/м²</w:t>
                </w:r>
              </w:p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Логотип: нанесення 2 повноколірних логотипів на грудях і 1 логотипу на спині у білому кольорі</w:t>
                </w:r>
              </w:p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 xml:space="preserve">Шовкотрафаретний друк </w:t>
                </w:r>
              </w:p>
            </w:tc>
            <w:tc>
              <w:tcPr>
                <w:tcW w:w="1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Розроблений макет  футболки з айдентикою проєкту (2 повноколірних логотипа на грудях і 1 логотип на спині)  та підготовлений файл до друку з урахуванням технічних вимог поліграфії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з дати підписання договору до липня 2026 р.</w:t>
                </w:r>
              </w:p>
            </w:tc>
          </w:tr>
          <w:tr w:rsidR="008723CA">
            <w:trPr>
              <w:trHeight w:val="420"/>
            </w:trPr>
            <w:tc>
              <w:tcPr>
                <w:tcW w:w="70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8723C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  <w:tc>
              <w:tcPr>
                <w:tcW w:w="7890" w:type="dxa"/>
                <w:gridSpan w:val="4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Верстка та підготовка макетів друкованих/електронних продуктів</w:t>
                </w:r>
              </w:p>
            </w:tc>
          </w:tr>
          <w:tr w:rsidR="008723CA">
            <w:tc>
              <w:tcPr>
                <w:tcW w:w="70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8723C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  <w:tc>
              <w:tcPr>
                <w:tcW w:w="202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 xml:space="preserve">Інформаційний </w:t>
                </w:r>
                <w:r>
                  <w:lastRenderedPageBreak/>
                  <w:t>бюлетень</w:t>
                </w:r>
              </w:p>
            </w:tc>
            <w:tc>
              <w:tcPr>
                <w:tcW w:w="241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lastRenderedPageBreak/>
                  <w:t xml:space="preserve">2 аркуші А4 </w:t>
                </w:r>
                <w:r>
                  <w:lastRenderedPageBreak/>
                  <w:t>Повноколірний двосторонній друк</w:t>
                </w:r>
              </w:p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 xml:space="preserve">Кріплення: на скобі </w:t>
                </w:r>
              </w:p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До  20 випусків</w:t>
                </w:r>
              </w:p>
            </w:tc>
            <w:tc>
              <w:tcPr>
                <w:tcW w:w="1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lastRenderedPageBreak/>
                  <w:t xml:space="preserve">Верстка та </w:t>
                </w:r>
                <w:r>
                  <w:lastRenderedPageBreak/>
                  <w:t>розроблений макет  бюлетню з айдентикою проєкту та текстом, який буде надани</w:t>
                </w:r>
                <w:r>
                  <w:t>й замовником, та  підготовлений файл до друку з урахуванням технічних вимог поліграфії, а також файл для використання в електронному форматі.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lastRenderedPageBreak/>
                  <w:t xml:space="preserve">з дати </w:t>
                </w:r>
                <w:r>
                  <w:lastRenderedPageBreak/>
                  <w:t>підписання договору до липня 2026 р.</w:t>
                </w:r>
              </w:p>
            </w:tc>
          </w:tr>
          <w:tr w:rsidR="008723CA">
            <w:tc>
              <w:tcPr>
                <w:tcW w:w="70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8723C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  <w:tc>
              <w:tcPr>
                <w:tcW w:w="202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Посібник</w:t>
                </w:r>
              </w:p>
            </w:tc>
            <w:tc>
              <w:tcPr>
                <w:tcW w:w="241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Формат А4</w:t>
                </w:r>
              </w:p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Зшивання: на клей</w:t>
                </w:r>
              </w:p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Внутрішні сторінки: 50 аркушів, ч/б двосторонній офсетний друк</w:t>
                </w:r>
              </w:p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Папір офсетний 100 г/м2</w:t>
                </w:r>
              </w:p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Обкладинка: папір крейдований 250 г/м2, глянцева ламінація, односторонній кольоровий друк</w:t>
                </w:r>
              </w:p>
            </w:tc>
            <w:tc>
              <w:tcPr>
                <w:tcW w:w="1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Верстка та розроблений макет  посібника з айдентикою проєкту та текстом, який буде наданий замовником, та  підготовлений файл до друку з урахуванням технічних вимог поліграфії, а також файл для використання в електронному форматі.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з дати підписання договор</w:t>
                </w:r>
                <w:r>
                  <w:t>у до липня 2026 р.</w:t>
                </w:r>
              </w:p>
            </w:tc>
          </w:tr>
          <w:tr w:rsidR="008723CA">
            <w:tc>
              <w:tcPr>
                <w:tcW w:w="70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8723C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  <w:tc>
              <w:tcPr>
                <w:tcW w:w="202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 xml:space="preserve">Брошура </w:t>
                </w:r>
              </w:p>
            </w:tc>
            <w:tc>
              <w:tcPr>
                <w:tcW w:w="241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 xml:space="preserve">Формат: розмір сторінки у складеному вигляді - А5, </w:t>
                </w:r>
              </w:p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розгорнутому - А4.</w:t>
                </w:r>
              </w:p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 xml:space="preserve">Внутрішні сторінки: до 50 аркушів, ч/б </w:t>
                </w:r>
              </w:p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 xml:space="preserve">Зшивання: на скобі </w:t>
                </w:r>
              </w:p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 xml:space="preserve">Технічні вимоги: друк кольоровий двосторонній, </w:t>
                </w:r>
              </w:p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папір крейдований 115 г/м2, матовий.</w:t>
                </w:r>
              </w:p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 xml:space="preserve"> </w:t>
                </w:r>
              </w:p>
            </w:tc>
            <w:tc>
              <w:tcPr>
                <w:tcW w:w="1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>Верстка та розроблений макет  брошури з айдентикою проєкту та текстом, який буде наданий замовником, та  підготовлений файл до друку з урахуванням технічних вимог поліграфії, а також файл для використання в електронному форматі.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723CA" w:rsidRDefault="003D1C5E">
                <w:pPr>
                  <w:widowControl w:val="0"/>
                  <w:spacing w:after="0" w:line="240" w:lineRule="auto"/>
                </w:pPr>
                <w:r>
                  <w:t xml:space="preserve">з дати підписання договору </w:t>
                </w:r>
                <w:r>
                  <w:t>до липня 2026 р.</w:t>
                </w:r>
              </w:p>
            </w:tc>
          </w:tr>
          <w:tr w:rsidR="008723CA">
            <w:tc>
              <w:tcPr>
                <w:tcW w:w="70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8723C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  <w:tc>
              <w:tcPr>
                <w:tcW w:w="7890" w:type="dxa"/>
                <w:gridSpan w:val="4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Розробка макетів інших дизайнерських продуктів за запитом</w:t>
                </w:r>
              </w:p>
            </w:tc>
          </w:tr>
          <w:tr w:rsidR="008723CA">
            <w:trPr>
              <w:trHeight w:val="420"/>
            </w:trPr>
            <w:tc>
              <w:tcPr>
                <w:tcW w:w="705" w:type="dxa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8723C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</w:p>
            </w:tc>
            <w:tc>
              <w:tcPr>
                <w:tcW w:w="7890" w:type="dxa"/>
                <w:gridSpan w:val="4"/>
                <w:tcBorders>
                  <w:top w:val="single" w:sz="5" w:space="0" w:color="CCCCCC"/>
                  <w:left w:val="single" w:sz="5" w:space="0" w:color="CCCCCC"/>
                  <w:bottom w:val="single" w:sz="5" w:space="0" w:color="000000"/>
                  <w:right w:val="single" w:sz="5" w:space="0" w:color="000000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8723CA" w:rsidRDefault="003D1C5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 xml:space="preserve">Розробка макетів з айдентикою проєкту для електронних документів та друку (тло для Zoom, колонтитул для документів, заголовок для гугл форм, банер, наліпки та інше) </w:t>
                </w:r>
              </w:p>
            </w:tc>
          </w:tr>
        </w:tbl>
      </w:sdtContent>
    </w:sdt>
    <w:p w:rsidR="008723CA" w:rsidRDefault="008723CA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8"/>
        <w:jc w:val="both"/>
      </w:pPr>
    </w:p>
    <w:p w:rsidR="008723CA" w:rsidRPr="00D367F2" w:rsidRDefault="003D1C5E">
      <w:pPr>
        <w:widowControl w:val="0"/>
        <w:spacing w:after="20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67F2">
        <w:rPr>
          <w:rFonts w:ascii="Times New Roman" w:hAnsi="Times New Roman" w:cs="Times New Roman"/>
          <w:b/>
          <w:sz w:val="20"/>
          <w:szCs w:val="20"/>
        </w:rPr>
        <w:t xml:space="preserve">2. Звітність </w:t>
      </w:r>
    </w:p>
    <w:p w:rsidR="008723CA" w:rsidRPr="00D367F2" w:rsidRDefault="003D1C5E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 w:rsidRPr="00D367F2">
        <w:rPr>
          <w:rFonts w:ascii="Times New Roman" w:hAnsi="Times New Roman" w:cs="Times New Roman"/>
          <w:sz w:val="20"/>
          <w:szCs w:val="20"/>
        </w:rPr>
        <w:t>Дизайнер подає макети всіх готових продуктів та</w:t>
      </w:r>
      <w:r w:rsidRPr="00D367F2">
        <w:rPr>
          <w:rFonts w:ascii="Times New Roman" w:hAnsi="Times New Roman" w:cs="Times New Roman"/>
          <w:sz w:val="20"/>
          <w:szCs w:val="20"/>
          <w:highlight w:val="white"/>
        </w:rPr>
        <w:t xml:space="preserve"> звіти щодо витраченого часу.</w:t>
      </w:r>
    </w:p>
    <w:p w:rsidR="008723CA" w:rsidRPr="00D367F2" w:rsidRDefault="003D1C5E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 xml:space="preserve">Всі макети мають бути надіслані на пошти </w:t>
      </w:r>
      <w:hyperlink r:id="rId6">
        <w:r w:rsidRPr="00D367F2">
          <w:rPr>
            <w:rFonts w:ascii="Times New Roman" w:eastAsia="Roboto" w:hAnsi="Times New Roman" w:cs="Times New Roman"/>
            <w:color w:val="1155CC"/>
            <w:sz w:val="20"/>
            <w:szCs w:val="20"/>
            <w:u w:val="single"/>
          </w:rPr>
          <w:t>o.herus@r2p.org.ua</w:t>
        </w:r>
      </w:hyperlink>
      <w:r w:rsidRPr="00D367F2">
        <w:rPr>
          <w:rFonts w:ascii="Times New Roman" w:eastAsia="Roboto" w:hAnsi="Times New Roman" w:cs="Times New Roman"/>
          <w:color w:val="5E5E5E"/>
          <w:sz w:val="20"/>
          <w:szCs w:val="20"/>
        </w:rPr>
        <w:t xml:space="preserve">, </w:t>
      </w:r>
      <w:hyperlink r:id="rId7">
        <w:r w:rsidRPr="00D367F2">
          <w:rPr>
            <w:rFonts w:ascii="Times New Roman" w:eastAsia="Roboto" w:hAnsi="Times New Roman" w:cs="Times New Roman"/>
            <w:color w:val="1155CC"/>
            <w:sz w:val="20"/>
            <w:szCs w:val="20"/>
            <w:u w:val="single"/>
          </w:rPr>
          <w:t>y.honchar@r2p.org.ua</w:t>
        </w:r>
      </w:hyperlink>
      <w:r w:rsidRPr="00D367F2">
        <w:rPr>
          <w:rFonts w:ascii="Times New Roman" w:eastAsia="Roboto" w:hAnsi="Times New Roman" w:cs="Times New Roman"/>
          <w:color w:val="222222"/>
          <w:sz w:val="20"/>
          <w:szCs w:val="20"/>
        </w:rPr>
        <w:t xml:space="preserve"> </w:t>
      </w:r>
    </w:p>
    <w:p w:rsidR="008723CA" w:rsidRPr="00D367F2" w:rsidRDefault="003D1C5E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 xml:space="preserve">Звіти та всі супровідні матеріали, виготовлені Дизайнером в рамках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>, мають бути передані Фонду без обтяження щодо авторських прав.</w:t>
      </w:r>
    </w:p>
    <w:p w:rsidR="008723CA" w:rsidRPr="00D367F2" w:rsidRDefault="003D1C5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367F2">
        <w:rPr>
          <w:rFonts w:ascii="Times New Roman" w:hAnsi="Times New Roman" w:cs="Times New Roman"/>
          <w:b/>
          <w:color w:val="000000"/>
          <w:sz w:val="20"/>
          <w:szCs w:val="20"/>
        </w:rPr>
        <w:t>3. Умови співпраці</w:t>
      </w:r>
    </w:p>
    <w:p w:rsidR="008723CA" w:rsidRPr="00D367F2" w:rsidRDefault="003D1C5E">
      <w:pPr>
        <w:spacing w:after="20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b/>
          <w:sz w:val="20"/>
          <w:szCs w:val="20"/>
        </w:rPr>
        <w:t>Кількість надавачів послуг:</w:t>
      </w:r>
      <w:r w:rsidRPr="00D367F2">
        <w:rPr>
          <w:rFonts w:ascii="Times New Roman" w:hAnsi="Times New Roman" w:cs="Times New Roman"/>
          <w:sz w:val="20"/>
          <w:szCs w:val="20"/>
        </w:rPr>
        <w:t xml:space="preserve"> в рамках даного тендеру буде відібрано 1 переможця.</w:t>
      </w:r>
    </w:p>
    <w:p w:rsidR="008723CA" w:rsidRPr="00D367F2" w:rsidRDefault="003D1C5E">
      <w:pPr>
        <w:spacing w:after="20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 xml:space="preserve">Учасником тендеру є ФОП 3-ї групи, який подає свою пропозицію на участь у тендері. Дизайнер у контексті цього тендеру є особа, яка безпосередньо здійснюватиме надання послуг відповідно до умов тендерної </w:t>
      </w:r>
      <w:r w:rsidRPr="00D367F2">
        <w:rPr>
          <w:rFonts w:ascii="Times New Roman" w:hAnsi="Times New Roman" w:cs="Times New Roman"/>
          <w:sz w:val="20"/>
          <w:szCs w:val="20"/>
        </w:rPr>
        <w:t xml:space="preserve">документації та укладеного договору. </w:t>
      </w:r>
    </w:p>
    <w:p w:rsidR="008723CA" w:rsidRPr="00D367F2" w:rsidRDefault="003D1C5E">
      <w:pPr>
        <w:spacing w:after="20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 xml:space="preserve">Якщо подається агенція/компанія/ФОП, який є посередником, то потенційний підрядник має надати необхідний пакет документів по кожному Дизайнеру окремо, включаючи цінову пропозицію. </w:t>
      </w:r>
    </w:p>
    <w:p w:rsidR="008723CA" w:rsidRPr="00D367F2" w:rsidRDefault="003D1C5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67F2">
        <w:rPr>
          <w:rFonts w:ascii="Times New Roman" w:hAnsi="Times New Roman" w:cs="Times New Roman"/>
          <w:color w:val="000000"/>
          <w:sz w:val="20"/>
          <w:szCs w:val="20"/>
        </w:rPr>
        <w:t xml:space="preserve">Всі розрахунки здійснюються виключно </w:t>
      </w:r>
      <w:r w:rsidRPr="00D367F2">
        <w:rPr>
          <w:rFonts w:ascii="Times New Roman" w:hAnsi="Times New Roman" w:cs="Times New Roman"/>
          <w:color w:val="000000"/>
          <w:sz w:val="20"/>
          <w:szCs w:val="20"/>
        </w:rPr>
        <w:t>у національній валюті України (гривні) шляхом банківського переказу на поточний рахунок ф</w:t>
      </w:r>
      <w:r w:rsidRPr="00D367F2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ізичної особи підприємця чи юридичної особи  - постачальника послуг</w:t>
      </w:r>
      <w:r w:rsidRPr="00D367F2">
        <w:rPr>
          <w:rFonts w:ascii="Times New Roman" w:hAnsi="Times New Roman" w:cs="Times New Roman"/>
          <w:sz w:val="20"/>
          <w:szCs w:val="20"/>
          <w:highlight w:val="white"/>
        </w:rPr>
        <w:t xml:space="preserve"> протягом 7 робочих днів з дати затвердження звіту щодо витраченого часу та</w:t>
      </w:r>
      <w:r w:rsidRPr="00D367F2">
        <w:rPr>
          <w:rFonts w:ascii="Times New Roman" w:hAnsi="Times New Roman" w:cs="Times New Roman"/>
          <w:sz w:val="20"/>
          <w:szCs w:val="20"/>
        </w:rPr>
        <w:t xml:space="preserve"> надання рахунку.</w:t>
      </w:r>
    </w:p>
    <w:p w:rsidR="008723CA" w:rsidRPr="00D367F2" w:rsidRDefault="003D1C5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67F2">
        <w:rPr>
          <w:rFonts w:ascii="Times New Roman" w:hAnsi="Times New Roman" w:cs="Times New Roman"/>
          <w:color w:val="000000"/>
          <w:sz w:val="20"/>
          <w:szCs w:val="20"/>
        </w:rPr>
        <w:t>Фонд ма</w:t>
      </w:r>
      <w:r w:rsidRPr="00D367F2">
        <w:rPr>
          <w:rFonts w:ascii="Times New Roman" w:hAnsi="Times New Roman" w:cs="Times New Roman"/>
          <w:color w:val="000000"/>
          <w:sz w:val="20"/>
          <w:szCs w:val="20"/>
        </w:rPr>
        <w:t>є право прийняти або відхилити будь-яку пропозицію або анулювати тендер в будь-який час до заключення договору з постачальником і не несе за це відповідність.</w:t>
      </w:r>
    </w:p>
    <w:p w:rsidR="008723CA" w:rsidRPr="00D367F2" w:rsidRDefault="003D1C5E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 xml:space="preserve">      </w:t>
      </w:r>
      <w:r w:rsidRPr="00D367F2">
        <w:rPr>
          <w:rFonts w:ascii="Times New Roman" w:hAnsi="Times New Roman" w:cs="Times New Roman"/>
          <w:color w:val="000000"/>
          <w:sz w:val="20"/>
          <w:szCs w:val="20"/>
        </w:rPr>
        <w:t>Учасник у будь-який момент, але не пізніше як за 2 (два) дні до кінцевого терміну подання т</w:t>
      </w:r>
      <w:r w:rsidRPr="00D367F2">
        <w:rPr>
          <w:rFonts w:ascii="Times New Roman" w:hAnsi="Times New Roman" w:cs="Times New Roman"/>
          <w:color w:val="000000"/>
          <w:sz w:val="20"/>
          <w:szCs w:val="20"/>
        </w:rPr>
        <w:t>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8723CA" w:rsidRPr="00D367F2" w:rsidRDefault="003D1C5E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color w:val="333333"/>
          <w:sz w:val="20"/>
          <w:szCs w:val="20"/>
        </w:rPr>
        <w:t>УВАГА! Замовник залишає за собою право змінювати об’єми послуг! Об’єм послуг визн</w:t>
      </w:r>
      <w:r w:rsidRPr="00D367F2">
        <w:rPr>
          <w:rFonts w:ascii="Times New Roman" w:hAnsi="Times New Roman" w:cs="Times New Roman"/>
          <w:color w:val="333333"/>
          <w:sz w:val="20"/>
          <w:szCs w:val="20"/>
        </w:rPr>
        <w:t xml:space="preserve">ачається спільно з менеджером </w:t>
      </w:r>
      <w:proofErr w:type="spellStart"/>
      <w:r w:rsidRPr="00D367F2">
        <w:rPr>
          <w:rFonts w:ascii="Times New Roman" w:hAnsi="Times New Roman" w:cs="Times New Roman"/>
          <w:color w:val="333333"/>
          <w:sz w:val="20"/>
          <w:szCs w:val="20"/>
        </w:rPr>
        <w:t>проєкту</w:t>
      </w:r>
      <w:proofErr w:type="spellEnd"/>
      <w:r w:rsidRPr="00D367F2">
        <w:rPr>
          <w:rFonts w:ascii="Times New Roman" w:hAnsi="Times New Roman" w:cs="Times New Roman"/>
          <w:color w:val="333333"/>
          <w:sz w:val="20"/>
          <w:szCs w:val="20"/>
        </w:rPr>
        <w:t xml:space="preserve"> БФ «Право на захист» та фіксується  звітом робочого часу. Попередній очікуваний об’єм послуг викладено в п. 1 даного оголошення про тендер.</w:t>
      </w:r>
    </w:p>
    <w:p w:rsidR="008723CA" w:rsidRPr="00D367F2" w:rsidRDefault="003D1C5E">
      <w:pPr>
        <w:spacing w:after="20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67F2">
        <w:rPr>
          <w:rFonts w:ascii="Times New Roman" w:hAnsi="Times New Roman" w:cs="Times New Roman"/>
          <w:color w:val="000000"/>
          <w:sz w:val="20"/>
          <w:szCs w:val="20"/>
        </w:rPr>
        <w:t>Податки, збори або платежі Уряду України, Уряду Федеративної Республіки Німечч</w:t>
      </w:r>
      <w:r w:rsidRPr="00D367F2">
        <w:rPr>
          <w:rFonts w:ascii="Times New Roman" w:hAnsi="Times New Roman" w:cs="Times New Roman"/>
          <w:color w:val="000000"/>
          <w:sz w:val="20"/>
          <w:szCs w:val="20"/>
        </w:rPr>
        <w:t xml:space="preserve">ина та/або Урядам будь-яких інших країн сплачуються </w:t>
      </w:r>
      <w:r w:rsidRPr="00D367F2">
        <w:rPr>
          <w:rFonts w:ascii="Times New Roman" w:hAnsi="Times New Roman" w:cs="Times New Roman"/>
          <w:sz w:val="20"/>
          <w:szCs w:val="20"/>
        </w:rPr>
        <w:t>Дизайнером</w:t>
      </w:r>
      <w:r w:rsidRPr="00D367F2">
        <w:rPr>
          <w:rFonts w:ascii="Times New Roman" w:hAnsi="Times New Roman" w:cs="Times New Roman"/>
          <w:color w:val="000000"/>
          <w:sz w:val="20"/>
          <w:szCs w:val="20"/>
        </w:rPr>
        <w:t xml:space="preserve"> відповідно до отриманої суми.</w:t>
      </w:r>
    </w:p>
    <w:p w:rsidR="008723CA" w:rsidRPr="00D367F2" w:rsidRDefault="003D1C5E">
      <w:pPr>
        <w:spacing w:after="20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367F2">
        <w:rPr>
          <w:rFonts w:ascii="Times New Roman" w:hAnsi="Times New Roman" w:cs="Times New Roman"/>
          <w:sz w:val="20"/>
          <w:szCs w:val="20"/>
          <w:u w:val="single"/>
        </w:rPr>
        <w:t xml:space="preserve">Оплата за проїзд, проживання, добові - не передбачені.  </w:t>
      </w:r>
    </w:p>
    <w:p w:rsidR="008723CA" w:rsidRPr="00D367F2" w:rsidRDefault="003D1C5E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color w:val="000000"/>
          <w:sz w:val="20"/>
          <w:szCs w:val="20"/>
        </w:rPr>
        <w:t xml:space="preserve">Учасник немає бути в </w:t>
      </w:r>
      <w:proofErr w:type="spellStart"/>
      <w:r w:rsidRPr="00D367F2">
        <w:rPr>
          <w:rFonts w:ascii="Times New Roman" w:hAnsi="Times New Roman" w:cs="Times New Roman"/>
          <w:color w:val="000000"/>
          <w:sz w:val="20"/>
          <w:szCs w:val="20"/>
        </w:rPr>
        <w:t>санкційних</w:t>
      </w:r>
      <w:proofErr w:type="spellEnd"/>
      <w:r w:rsidRPr="00D367F2">
        <w:rPr>
          <w:rFonts w:ascii="Times New Roman" w:hAnsi="Times New Roman" w:cs="Times New Roman"/>
          <w:color w:val="000000"/>
          <w:sz w:val="20"/>
          <w:szCs w:val="20"/>
        </w:rPr>
        <w:t xml:space="preserve"> списках України, ЄС, США, Канади, Японії, Великобританії.</w:t>
      </w:r>
    </w:p>
    <w:p w:rsidR="008723CA" w:rsidRPr="00D367F2" w:rsidRDefault="003D1C5E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367F2">
        <w:rPr>
          <w:rFonts w:ascii="Times New Roman" w:hAnsi="Times New Roman" w:cs="Times New Roman"/>
          <w:color w:val="000000"/>
          <w:sz w:val="20"/>
          <w:szCs w:val="20"/>
        </w:rPr>
        <w:t>Учасник не має перебувати в процесі припинення діяльності ФОП.</w:t>
      </w:r>
    </w:p>
    <w:p w:rsidR="008723CA" w:rsidRPr="00D367F2" w:rsidRDefault="003D1C5E">
      <w:pPr>
        <w:spacing w:after="20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67F2">
        <w:rPr>
          <w:rFonts w:ascii="Times New Roman" w:hAnsi="Times New Roman" w:cs="Times New Roman"/>
          <w:b/>
          <w:sz w:val="20"/>
          <w:szCs w:val="20"/>
        </w:rPr>
        <w:t>Вимоги до учасника:</w:t>
      </w:r>
    </w:p>
    <w:p w:rsidR="008723CA" w:rsidRPr="00D367F2" w:rsidRDefault="003D1C5E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 xml:space="preserve">Професійний рівень користування: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Adobe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Photoshop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Adobe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Illustrator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Adobe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Indesign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Adobe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Effects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CorelDraw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>;</w:t>
      </w:r>
    </w:p>
    <w:p w:rsidR="008723CA" w:rsidRPr="00D367F2" w:rsidRDefault="003D1C5E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 xml:space="preserve">Досвід роботи з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додрукарської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 підготовкою поліграфії (каталоги, візитки, листівки) 3 роки;</w:t>
      </w:r>
    </w:p>
    <w:p w:rsidR="008723CA" w:rsidRPr="00D367F2" w:rsidRDefault="003D1C5E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>Досвід розробки дизайну макетів POS-матеріалів: буклетів, відкриток, візиток, каталогів з нуля;</w:t>
      </w:r>
    </w:p>
    <w:p w:rsidR="008723CA" w:rsidRPr="00D367F2" w:rsidRDefault="003D1C5E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 xml:space="preserve">Досвід верстки та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додрукарської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 підготовки поліграфічних видань (журн</w:t>
      </w:r>
      <w:r w:rsidRPr="00D367F2">
        <w:rPr>
          <w:rFonts w:ascii="Times New Roman" w:hAnsi="Times New Roman" w:cs="Times New Roman"/>
          <w:sz w:val="20"/>
          <w:szCs w:val="20"/>
        </w:rPr>
        <w:t>алів, посібників, бюлетенів тощо);</w:t>
      </w:r>
    </w:p>
    <w:p w:rsidR="008723CA" w:rsidRPr="00D367F2" w:rsidRDefault="003D1C5E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 xml:space="preserve">Досвід розробки унікальних візуальних рішень на основі заданого текстового матеріалу -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інфографік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>;</w:t>
      </w:r>
    </w:p>
    <w:p w:rsidR="008723CA" w:rsidRPr="00D367F2" w:rsidRDefault="003D1C5E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>Вміння працювати з великими об'ємами інформації;</w:t>
      </w:r>
    </w:p>
    <w:p w:rsidR="008723CA" w:rsidRPr="00D367F2" w:rsidRDefault="003D1C5E">
      <w:pPr>
        <w:spacing w:after="20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>Учасник може не бути зареєстрованим ФОП на момент подання заявки, але гар</w:t>
      </w:r>
      <w:r w:rsidRPr="00D367F2">
        <w:rPr>
          <w:rFonts w:ascii="Times New Roman" w:hAnsi="Times New Roman" w:cs="Times New Roman"/>
          <w:sz w:val="20"/>
          <w:szCs w:val="20"/>
        </w:rPr>
        <w:t xml:space="preserve">антує зареєструватися протягом 3 днів з дати оголошення переможцем тендеру. </w:t>
      </w:r>
    </w:p>
    <w:p w:rsidR="008723CA" w:rsidRPr="00D367F2" w:rsidRDefault="003D1C5E">
      <w:pPr>
        <w:spacing w:after="200" w:line="276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eading=h.30j0zll" w:colFirst="0" w:colLast="0"/>
      <w:bookmarkEnd w:id="1"/>
      <w:r w:rsidRPr="00D367F2">
        <w:rPr>
          <w:rFonts w:ascii="Times New Roman" w:hAnsi="Times New Roman" w:cs="Times New Roman"/>
          <w:b/>
          <w:sz w:val="20"/>
          <w:szCs w:val="20"/>
        </w:rPr>
        <w:t>4. Вимоги до подання технічної пропозиції</w:t>
      </w:r>
    </w:p>
    <w:p w:rsidR="008723CA" w:rsidRPr="00D367F2" w:rsidRDefault="003D1C5E">
      <w:p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 xml:space="preserve">Технічна пропозиція повинна бути складена українською мовою. </w:t>
      </w:r>
    </w:p>
    <w:p w:rsidR="008723CA" w:rsidRPr="00D367F2" w:rsidRDefault="003D1C5E">
      <w:pPr>
        <w:widowControl w:val="0"/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eading=h.gjdgxs" w:colFirst="0" w:colLast="0"/>
      <w:bookmarkEnd w:id="2"/>
      <w:r w:rsidRPr="00D367F2">
        <w:rPr>
          <w:rFonts w:ascii="Times New Roman" w:hAnsi="Times New Roman" w:cs="Times New Roman"/>
          <w:sz w:val="20"/>
          <w:szCs w:val="20"/>
        </w:rPr>
        <w:lastRenderedPageBreak/>
        <w:t>Просимо надати наступний пакет документів, який буде містити:</w:t>
      </w:r>
    </w:p>
    <w:p w:rsidR="008723CA" w:rsidRPr="00D367F2" w:rsidRDefault="003D1C5E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>Контактну інф</w:t>
      </w:r>
      <w:r w:rsidRPr="00D367F2">
        <w:rPr>
          <w:rFonts w:ascii="Times New Roman" w:hAnsi="Times New Roman" w:cs="Times New Roman"/>
          <w:sz w:val="20"/>
          <w:szCs w:val="20"/>
        </w:rPr>
        <w:t>ормацію;</w:t>
      </w:r>
    </w:p>
    <w:p w:rsidR="008723CA" w:rsidRPr="00D367F2" w:rsidRDefault="003D1C5E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>Диплом про вищу освіту, кваліфікаційні сертифікати;</w:t>
      </w:r>
    </w:p>
    <w:p w:rsidR="008723CA" w:rsidRPr="00D367F2" w:rsidRDefault="003D1C5E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 xml:space="preserve">CV з детальним описом релевантного досвіду за останні 3 роки; </w:t>
      </w:r>
    </w:p>
    <w:p w:rsidR="008723CA" w:rsidRPr="00D367F2" w:rsidRDefault="003D1C5E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>Зразки розроблених макетів поліграфічної та іншої візуальної продукції, портфоліо, створені з використанням програм для графічного д</w:t>
      </w:r>
      <w:r w:rsidRPr="00D367F2">
        <w:rPr>
          <w:rFonts w:ascii="Times New Roman" w:hAnsi="Times New Roman" w:cs="Times New Roman"/>
          <w:sz w:val="20"/>
          <w:szCs w:val="20"/>
        </w:rPr>
        <w:t xml:space="preserve">изайну (зокрема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Adobe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Photoshop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Illustrator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InDesign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Effects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367F2">
        <w:rPr>
          <w:rFonts w:ascii="Times New Roman" w:hAnsi="Times New Roman" w:cs="Times New Roman"/>
          <w:sz w:val="20"/>
          <w:szCs w:val="20"/>
        </w:rPr>
        <w:t>CorelDraw</w:t>
      </w:r>
      <w:proofErr w:type="spellEnd"/>
      <w:r w:rsidRPr="00D367F2">
        <w:rPr>
          <w:rFonts w:ascii="Times New Roman" w:hAnsi="Times New Roman" w:cs="Times New Roman"/>
          <w:sz w:val="20"/>
          <w:szCs w:val="20"/>
        </w:rPr>
        <w:t xml:space="preserve"> тощо);</w:t>
      </w:r>
    </w:p>
    <w:p w:rsidR="008723CA" w:rsidRPr="00D367F2" w:rsidRDefault="003D1C5E">
      <w:pPr>
        <w:widowControl w:val="0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D367F2">
        <w:rPr>
          <w:rFonts w:ascii="Times New Roman" w:hAnsi="Times New Roman" w:cs="Times New Roman"/>
          <w:sz w:val="20"/>
          <w:szCs w:val="20"/>
        </w:rPr>
        <w:t>Рекомендаційні листи та позитивні відгуки від замовників.</w:t>
      </w:r>
    </w:p>
    <w:p w:rsidR="008723CA" w:rsidRPr="00D367F2" w:rsidRDefault="008723CA">
      <w:pPr>
        <w:widowControl w:val="0"/>
        <w:spacing w:after="200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8723CA" w:rsidRPr="00D367F2" w:rsidRDefault="003D1C5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86" w:after="200"/>
        <w:ind w:left="7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367F2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Pr="00D367F2">
        <w:rPr>
          <w:rFonts w:ascii="Times New Roman" w:hAnsi="Times New Roman" w:cs="Times New Roman"/>
          <w:b/>
          <w:color w:val="000000"/>
          <w:sz w:val="20"/>
          <w:szCs w:val="20"/>
        </w:rPr>
        <w:t>Підведення підсумків конкурсу</w:t>
      </w:r>
    </w:p>
    <w:p w:rsidR="008723CA" w:rsidRPr="00D367F2" w:rsidRDefault="003D1C5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67F2">
        <w:rPr>
          <w:rFonts w:ascii="Times New Roman" w:hAnsi="Times New Roman" w:cs="Times New Roman"/>
          <w:color w:val="000000"/>
          <w:sz w:val="20"/>
          <w:szCs w:val="2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f0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2268"/>
        <w:gridCol w:w="5959"/>
        <w:gridCol w:w="1559"/>
      </w:tblGrid>
      <w:tr w:rsidR="008723CA" w:rsidTr="00D367F2">
        <w:trPr>
          <w:trHeight w:val="20"/>
          <w:jc w:val="center"/>
        </w:trPr>
        <w:tc>
          <w:tcPr>
            <w:tcW w:w="10065" w:type="dxa"/>
            <w:gridSpan w:val="4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Default="003D1C5E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ШКАЛА ОЦІНКИ КРИТЕРІЇВ</w:t>
            </w:r>
          </w:p>
        </w:tc>
      </w:tr>
      <w:tr w:rsidR="008723CA" w:rsidTr="00D367F2">
        <w:trPr>
          <w:trHeight w:val="604"/>
          <w:jc w:val="center"/>
        </w:trPr>
        <w:tc>
          <w:tcPr>
            <w:tcW w:w="279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Default="008723CA">
            <w:pPr>
              <w:spacing w:after="200"/>
              <w:jc w:val="both"/>
            </w:pPr>
          </w:p>
        </w:tc>
        <w:tc>
          <w:tcPr>
            <w:tcW w:w="226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Pr="00D367F2" w:rsidRDefault="003D1C5E" w:rsidP="00D367F2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D367F2">
              <w:rPr>
                <w:rFonts w:ascii="Times New Roman" w:hAnsi="Times New Roman" w:cs="Times New Roman"/>
                <w:sz w:val="18"/>
                <w:szCs w:val="18"/>
              </w:rPr>
              <w:t>Відповідність технічним вимогам</w:t>
            </w:r>
          </w:p>
        </w:tc>
        <w:tc>
          <w:tcPr>
            <w:tcW w:w="5959" w:type="dxa"/>
            <w:shd w:val="clear" w:color="auto" w:fill="DBE5F1"/>
            <w:vAlign w:val="center"/>
          </w:tcPr>
          <w:p w:rsidR="008723CA" w:rsidRPr="00D367F2" w:rsidRDefault="003D1C5E" w:rsidP="00D367F2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D367F2">
              <w:rPr>
                <w:rFonts w:ascii="Times New Roman" w:hAnsi="Times New Roman" w:cs="Times New Roman"/>
                <w:sz w:val="18"/>
                <w:szCs w:val="18"/>
              </w:rPr>
              <w:t>МЕТОДОЛОГІЯ ОЦІНКИ</w:t>
            </w:r>
          </w:p>
        </w:tc>
        <w:tc>
          <w:tcPr>
            <w:tcW w:w="1559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Pr="00D367F2" w:rsidRDefault="003D1C5E" w:rsidP="00D367F2">
            <w:pPr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D367F2">
              <w:rPr>
                <w:rFonts w:ascii="Times New Roman" w:hAnsi="Times New Roman" w:cs="Times New Roman"/>
                <w:sz w:val="18"/>
                <w:szCs w:val="18"/>
              </w:rPr>
              <w:t>Максимальна кількість балів за вимогою</w:t>
            </w:r>
          </w:p>
        </w:tc>
      </w:tr>
      <w:tr w:rsidR="008723CA" w:rsidTr="00D367F2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Default="003D1C5E">
            <w:pPr>
              <w:spacing w:after="200"/>
              <w:jc w:val="both"/>
            </w:pPr>
            <w: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723CA" w:rsidRPr="00D367F2" w:rsidRDefault="003D1C5E" w:rsidP="00D3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Досвід роботи технічним дизайнером від 3 років</w:t>
            </w:r>
          </w:p>
        </w:tc>
        <w:tc>
          <w:tcPr>
            <w:tcW w:w="5959" w:type="dxa"/>
            <w:vAlign w:val="center"/>
          </w:tcPr>
          <w:p w:rsidR="00D367F2" w:rsidRPr="00D367F2" w:rsidRDefault="003D1C5E" w:rsidP="00D367F2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10 балів 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більше 3-х років досвіду</w:t>
            </w:r>
          </w:p>
          <w:p w:rsidR="008723CA" w:rsidRPr="00D367F2" w:rsidRDefault="003D1C5E" w:rsidP="00D367F2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5 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3 роки</w:t>
            </w:r>
          </w:p>
          <w:p w:rsidR="008723CA" w:rsidRPr="00D367F2" w:rsidRDefault="003D1C5E" w:rsidP="00D367F2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1 бал: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2-3 роки досвіду</w:t>
            </w:r>
          </w:p>
          <w:p w:rsidR="008723CA" w:rsidRPr="00D367F2" w:rsidRDefault="003D1C5E" w:rsidP="00D367F2">
            <w:pPr>
              <w:pStyle w:val="aff1"/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0 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До 2 років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Pr="00D367F2" w:rsidRDefault="003D1C5E" w:rsidP="00D367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723CA" w:rsidTr="00D367F2">
        <w:trPr>
          <w:trHeight w:val="451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Default="003D1C5E">
            <w:pPr>
              <w:spacing w:after="200"/>
              <w:jc w:val="both"/>
            </w:pPr>
            <w:r>
              <w:t>2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723CA" w:rsidRPr="00D367F2" w:rsidRDefault="003D1C5E" w:rsidP="00D3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Резюме</w:t>
            </w:r>
          </w:p>
        </w:tc>
        <w:tc>
          <w:tcPr>
            <w:tcW w:w="5959" w:type="dxa"/>
          </w:tcPr>
          <w:p w:rsidR="008723CA" w:rsidRPr="00D367F2" w:rsidRDefault="003D1C5E" w:rsidP="00D367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15 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Демонстрація вичерпної інформації у ключових сферах та завданнях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, зазначений детальний опис повноважень, навичок, досягнень, розроблених матеріалів та портфоліо виконаних робіт. Резюме актуалізоване та містить інформацію діяльності фахівц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я щонайменше за останні 5 років.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10 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Демонстрація узагальненої інформації у ключових сферах та завданнях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. Зазначено досвід роботи, зокрема, кількість розроблених матеріалів та їх види, ключові сфери виконання без додаткової деталізації про н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авички, досягнення або напрацювання. Резюме актуалізоване та містить інформацію діяльності фахівця щонайменше за останні 3 років.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балів: 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Надано резюме з відсутністю актуального досвіду за останній 1 рік у сферах та завданнях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, але відображено існ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уючий у виконавця попередній досвід  виконання подібних завдань. 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0 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Не надано резюме або досвід не є релевантним до сфери та завдань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Pr="00D367F2" w:rsidRDefault="003D1C5E" w:rsidP="00D367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723CA" w:rsidTr="00D367F2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Default="003D1C5E">
            <w:pPr>
              <w:spacing w:after="200"/>
              <w:jc w:val="both"/>
            </w:pPr>
            <w:r>
              <w:t>3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723CA" w:rsidRPr="00D367F2" w:rsidRDefault="003D1C5E" w:rsidP="00D367F2">
            <w:pPr>
              <w:widowControl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Зразки розроблених макетів (портфоліо)</w:t>
            </w:r>
          </w:p>
        </w:tc>
        <w:tc>
          <w:tcPr>
            <w:tcW w:w="5959" w:type="dxa"/>
            <w:vAlign w:val="center"/>
          </w:tcPr>
          <w:p w:rsidR="00D367F2" w:rsidRPr="00D367F2" w:rsidRDefault="003D1C5E" w:rsidP="00D367F2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15 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Надані матеріали відображають досвід за темою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проєк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. Надано зразки 5 і більше матеріалів різного формату та складності виконання (посібники, брошури, наліпки, банери тощо). Надані матеріали демонструють творчий підхід до розробки матеріалів, а також підтверджують наявність технічних навичок використання 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програм для графічного дизайну.</w:t>
            </w:r>
          </w:p>
          <w:p w:rsidR="008723CA" w:rsidRPr="00D367F2" w:rsidRDefault="003D1C5E" w:rsidP="00D367F2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10 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Надано 2-4 матеріалів. Надані матеріали відображають досвід за темою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, проте є однотипними. Надані матеріали не демонструють творчого підходу до розробки матеріалів або не демонструють наявність технічних на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вичок працювати в програмах для дизайну, макетування тощо.</w:t>
            </w:r>
          </w:p>
          <w:p w:rsidR="008723CA" w:rsidRPr="00D367F2" w:rsidRDefault="003D1C5E" w:rsidP="00D367F2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5 балів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- надано матеріали 1-2 матеріали, які однотипні/або не демонструють творчий підхід/ або не демонструє наявність 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технічних навичок виконувати завдання передбачені технічним завдання тощо.</w:t>
            </w:r>
          </w:p>
          <w:p w:rsidR="008723CA" w:rsidRPr="00D367F2" w:rsidRDefault="003D1C5E" w:rsidP="00D367F2">
            <w:pPr>
              <w:pStyle w:val="aff1"/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Жодних матеріалів не подано.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Pr="00D367F2" w:rsidRDefault="003D1C5E" w:rsidP="00D367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</w:tr>
      <w:tr w:rsidR="008723CA" w:rsidTr="00D367F2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Default="003D1C5E">
            <w:pPr>
              <w:spacing w:after="200"/>
              <w:jc w:val="both"/>
            </w:pPr>
            <w:r>
              <w:t>4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723CA" w:rsidRPr="00D367F2" w:rsidRDefault="003D1C5E" w:rsidP="00D3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Впевнене володіння графічними програмами (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Adobe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Photoshop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Adobe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Illustrator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Adobe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Indesign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Adobe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CorelDraw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тощо)</w:t>
            </w:r>
          </w:p>
        </w:tc>
        <w:tc>
          <w:tcPr>
            <w:tcW w:w="5959" w:type="dxa"/>
            <w:vAlign w:val="center"/>
          </w:tcPr>
          <w:p w:rsidR="008723CA" w:rsidRPr="00D367F2" w:rsidRDefault="003D1C5E" w:rsidP="00D367F2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15 балів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: Впевнене володіння графічними програмами для розробки макетів відповідно до технічного завдання. Надано сертифікати про пройдені навчальні курси або матеріали, які були виготовлені в цих програмах.</w:t>
            </w:r>
          </w:p>
          <w:p w:rsidR="008723CA" w:rsidRPr="00D367F2" w:rsidRDefault="003D1C5E" w:rsidP="00D367F2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10 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Учасник не надав сертифікати, але прод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емонстрував свої роботи розроблені в зазначених вище програмах. </w:t>
            </w:r>
          </w:p>
          <w:p w:rsidR="008723CA" w:rsidRPr="00D367F2" w:rsidRDefault="003D1C5E" w:rsidP="00D367F2">
            <w:pPr>
              <w:pStyle w:val="aff1"/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0 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Володіння лише програмою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Photoshop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Pr="00D367F2" w:rsidRDefault="003D1C5E" w:rsidP="00D367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723CA" w:rsidTr="00D367F2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Default="003D1C5E">
            <w:pPr>
              <w:spacing w:after="200"/>
              <w:jc w:val="both"/>
            </w:pPr>
            <w:r>
              <w:t>5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723CA" w:rsidRPr="00D367F2" w:rsidRDefault="003D1C5E" w:rsidP="00D3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Досвід роботи з подібними </w:t>
            </w:r>
            <w:proofErr w:type="spellStart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проєктами</w:t>
            </w:r>
            <w:proofErr w:type="spellEnd"/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/ аудиторіями</w:t>
            </w:r>
          </w:p>
        </w:tc>
        <w:tc>
          <w:tcPr>
            <w:tcW w:w="5959" w:type="dxa"/>
            <w:vAlign w:val="center"/>
          </w:tcPr>
          <w:p w:rsidR="008723CA" w:rsidRPr="00D367F2" w:rsidRDefault="003D1C5E" w:rsidP="00D367F2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15 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Є підтверджений досвід роботи з подібними матеріалами (гуманітарна сфера, соціальні кампанії, навчальні матеріали, вразливі аудиторії тощо).</w:t>
            </w:r>
          </w:p>
          <w:p w:rsidR="008723CA" w:rsidRPr="00D367F2" w:rsidRDefault="003D1C5E" w:rsidP="00D367F2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10 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Є досвід у графічному дизайні, але не в подібних темах.</w:t>
            </w:r>
          </w:p>
          <w:p w:rsidR="008723CA" w:rsidRPr="00D367F2" w:rsidRDefault="003D1C5E" w:rsidP="00D367F2">
            <w:pPr>
              <w:pStyle w:val="aff1"/>
              <w:rPr>
                <w:rFonts w:ascii="Times New Roman" w:hAnsi="Times New Roman" w:cs="Times New Roman"/>
              </w:rPr>
            </w:pP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t>5 балів: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 xml:space="preserve"> Досвід мало релевантний або не описаний.</w:t>
            </w:r>
            <w:r w:rsidRPr="00D367F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0 балів</w:t>
            </w: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: Інформація відсутня.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23CA" w:rsidRPr="00D367F2" w:rsidRDefault="003D1C5E" w:rsidP="00D367F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367F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8723CA" w:rsidRDefault="008723CA">
      <w:pPr>
        <w:spacing w:after="200"/>
        <w:ind w:firstLine="360"/>
        <w:jc w:val="both"/>
        <w:rPr>
          <w:b/>
        </w:rPr>
      </w:pPr>
    </w:p>
    <w:p w:rsidR="008723CA" w:rsidRDefault="008723CA">
      <w:pPr>
        <w:spacing w:after="200"/>
        <w:jc w:val="both"/>
        <w:rPr>
          <w:rFonts w:ascii="Arial" w:eastAsia="Arial" w:hAnsi="Arial" w:cs="Arial"/>
          <w:color w:val="002F34"/>
          <w:sz w:val="21"/>
          <w:szCs w:val="21"/>
          <w:shd w:val="clear" w:color="auto" w:fill="F2F4F5"/>
        </w:rPr>
      </w:pPr>
    </w:p>
    <w:p w:rsidR="008723CA" w:rsidRDefault="008723CA">
      <w:pPr>
        <w:spacing w:after="200"/>
        <w:jc w:val="both"/>
        <w:rPr>
          <w:b/>
        </w:rPr>
      </w:pPr>
    </w:p>
    <w:p w:rsidR="008723CA" w:rsidRDefault="008723CA">
      <w:pPr>
        <w:spacing w:after="200"/>
        <w:ind w:firstLine="720"/>
        <w:jc w:val="both"/>
      </w:pPr>
    </w:p>
    <w:sectPr w:rsidR="008723CA">
      <w:pgSz w:w="11906" w:h="16838"/>
      <w:pgMar w:top="566" w:right="850" w:bottom="709" w:left="1134" w:header="284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7848"/>
    <w:multiLevelType w:val="multilevel"/>
    <w:tmpl w:val="79148E2A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74940"/>
    <w:multiLevelType w:val="multilevel"/>
    <w:tmpl w:val="BE72CD1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CA"/>
    <w:rsid w:val="003D1C5E"/>
    <w:rsid w:val="004216F3"/>
    <w:rsid w:val="008723CA"/>
    <w:rsid w:val="00D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7E39"/>
  <w15:docId w15:val="{4794E310-697F-4636-9DCF-0C8F75D9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link w:val="a9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a">
    <w:name w:val="Normal (Web)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uiPriority w:val="34"/>
    <w:qFormat/>
    <w:rsid w:val="00AD706D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261931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6D3D1B"/>
    <w:pPr>
      <w:spacing w:after="0" w:line="240" w:lineRule="auto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6D3D1B"/>
    <w:rPr>
      <w:b/>
      <w:bCs/>
    </w:rPr>
  </w:style>
  <w:style w:type="character" w:customStyle="1" w:styleId="af">
    <w:name w:val="Тема примітки Знак"/>
    <w:basedOn w:val="a6"/>
    <w:link w:val="ae"/>
    <w:uiPriority w:val="99"/>
    <w:semiHidden/>
    <w:rsid w:val="006D3D1B"/>
    <w:rPr>
      <w:b/>
      <w:bCs/>
      <w:sz w:val="20"/>
      <w:szCs w:val="20"/>
    </w:r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header"/>
    <w:link w:val="af3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C875AA"/>
  </w:style>
  <w:style w:type="paragraph" w:styleId="af4">
    <w:name w:val="footer"/>
    <w:link w:val="af5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C875AA"/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f1">
    <w:name w:val="No Spacing"/>
    <w:uiPriority w:val="1"/>
    <w:qFormat/>
    <w:rsid w:val="00D36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.honchar@r2p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.herus@r2p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JuOO5qzMXDIblNWRYU80XWg5dg==">CgMxLjAaHwoBMBIaChgICVIUChJ0YWJsZS53MmR0cGVoMG95b3MyCWguMzBqMHpsbDIIaC5namRneHM4AHIhMTZiNGx0UTUzZUtLS1FsR1liMW5JNnNuZ0dYMjZ6cTRM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6659</Words>
  <Characters>3797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2024-08-22T06:51:00Z</dcterms:created>
  <dcterms:modified xsi:type="dcterms:W3CDTF">2025-10-17T08:17:00Z</dcterms:modified>
</cp:coreProperties>
</file>