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30 жовтня 2024 р.</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Технічне завдання для закупівлі послуг</w:t>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Ментора для проведення навчального тренінгу для ТОП менеджменту Благодійного Фонду “Право на Захист”</w:t>
      </w:r>
    </w:p>
    <w:p w:rsidR="00000000" w:rsidDel="00000000" w:rsidP="00000000" w:rsidRDefault="00000000" w:rsidRPr="00000000" w14:paraId="00000004">
      <w:pPr>
        <w:widowControl w:val="0"/>
        <w:spacing w:after="240" w:befor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(далі – Фонд) р</w:t>
      </w:r>
      <w:r w:rsidDel="00000000" w:rsidR="00000000" w:rsidRPr="00000000">
        <w:rPr>
          <w:rFonts w:ascii="Times New Roman" w:cs="Times New Roman" w:eastAsia="Times New Roman" w:hAnsi="Times New Roman"/>
          <w:i w:val="1"/>
          <w:sz w:val="20"/>
          <w:szCs w:val="20"/>
          <w:rtl w:val="0"/>
        </w:rPr>
        <w:t xml:space="preserve">еалізовує комплексну тренінгову програму для представників органів місцевого самоврядування та зацікавлених сторін у відбудові та відновленні.</w:t>
      </w:r>
      <w:r w:rsidDel="00000000" w:rsidR="00000000" w:rsidRPr="00000000">
        <w:rPr>
          <w:rFonts w:ascii="Times New Roman" w:cs="Times New Roman" w:eastAsia="Times New Roman" w:hAnsi="Times New Roman"/>
          <w:sz w:val="20"/>
          <w:szCs w:val="20"/>
          <w:rtl w:val="0"/>
        </w:rPr>
        <w:t xml:space="preserve"> Програма  для кожної громади  складається з п’яти (</w:t>
      </w:r>
      <w:r w:rsidDel="00000000" w:rsidR="00000000" w:rsidRPr="00000000">
        <w:rPr>
          <w:rFonts w:ascii="Times New Roman" w:cs="Times New Roman" w:eastAsia="Times New Roman" w:hAnsi="Times New Roman"/>
          <w:i w:val="1"/>
          <w:sz w:val="20"/>
          <w:szCs w:val="20"/>
          <w:rtl w:val="0"/>
        </w:rPr>
        <w:t xml:space="preserve">5) офлайн модулів, кожен з яких триватиме по 1-2 години(всього 8) годин</w:t>
      </w:r>
      <w:r w:rsidDel="00000000" w:rsidR="00000000" w:rsidRPr="00000000">
        <w:rPr>
          <w:rFonts w:ascii="Times New Roman" w:cs="Times New Roman" w:eastAsia="Times New Roman" w:hAnsi="Times New Roman"/>
          <w:sz w:val="20"/>
          <w:szCs w:val="20"/>
          <w:rtl w:val="0"/>
        </w:rPr>
        <w:t xml:space="preserve">. Навчання спрямоване на </w:t>
      </w:r>
      <w:r w:rsidDel="00000000" w:rsidR="00000000" w:rsidRPr="00000000">
        <w:rPr>
          <w:rFonts w:ascii="Times New Roman" w:cs="Times New Roman" w:eastAsia="Times New Roman" w:hAnsi="Times New Roman"/>
          <w:i w:val="1"/>
          <w:sz w:val="20"/>
          <w:szCs w:val="20"/>
          <w:rtl w:val="0"/>
        </w:rPr>
        <w:t xml:space="preserve">підвищення рівня використання принципів та підходів безбарєрності та інклюзивності в процесах відбудови та відновлення громад.</w:t>
      </w:r>
    </w:p>
    <w:p w:rsidR="00000000" w:rsidDel="00000000" w:rsidP="00000000" w:rsidRDefault="00000000" w:rsidRPr="00000000" w14:paraId="00000005">
      <w:pPr>
        <w:widowControl w:val="0"/>
        <w:spacing w:after="240"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Розробка деталізованої програми учасникам тендеру</w:t>
      </w:r>
    </w:p>
    <w:p w:rsidR="00000000" w:rsidDel="00000000" w:rsidP="00000000" w:rsidRDefault="00000000" w:rsidRPr="00000000" w14:paraId="00000006">
      <w:pPr>
        <w:widowControl w:val="0"/>
        <w:spacing w:after="240"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Орієнтовна тематика</w:t>
      </w:r>
    </w:p>
    <w:p w:rsidR="00000000" w:rsidDel="00000000" w:rsidP="00000000" w:rsidRDefault="00000000" w:rsidRPr="00000000" w14:paraId="00000007">
      <w:pPr>
        <w:widowControl w:val="0"/>
        <w:numPr>
          <w:ilvl w:val="0"/>
          <w:numId w:val="3"/>
        </w:numPr>
        <w:spacing w:after="0" w:before="24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1</w:t>
      </w:r>
      <w:r w:rsidDel="00000000" w:rsidR="00000000" w:rsidRPr="00000000">
        <w:rPr>
          <w:rFonts w:ascii="Times New Roman" w:cs="Times New Roman" w:eastAsia="Times New Roman" w:hAnsi="Times New Roman"/>
          <w:i w:val="1"/>
          <w:sz w:val="20"/>
          <w:szCs w:val="20"/>
          <w:rtl w:val="0"/>
        </w:rPr>
        <w:t xml:space="preserve">: Поняття безбар`єрності та інклюзивності.</w:t>
      </w:r>
    </w:p>
    <w:p w:rsidR="00000000" w:rsidDel="00000000" w:rsidP="00000000" w:rsidRDefault="00000000" w:rsidRPr="00000000" w14:paraId="00000008">
      <w:pPr>
        <w:widowControl w:val="0"/>
        <w:numPr>
          <w:ilvl w:val="0"/>
          <w:numId w:val="3"/>
        </w:numPr>
        <w:spacing w:after="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2</w:t>
      </w:r>
      <w:r w:rsidDel="00000000" w:rsidR="00000000" w:rsidRPr="00000000">
        <w:rPr>
          <w:rFonts w:ascii="Times New Roman" w:cs="Times New Roman" w:eastAsia="Times New Roman" w:hAnsi="Times New Roman"/>
          <w:i w:val="1"/>
          <w:sz w:val="20"/>
          <w:szCs w:val="20"/>
          <w:rtl w:val="0"/>
        </w:rPr>
        <w:t xml:space="preserve">: Універсальний дизайн та підхід, заснований та правах людини.</w:t>
      </w:r>
    </w:p>
    <w:p w:rsidR="00000000" w:rsidDel="00000000" w:rsidP="00000000" w:rsidRDefault="00000000" w:rsidRPr="00000000" w14:paraId="00000009">
      <w:pPr>
        <w:widowControl w:val="0"/>
        <w:numPr>
          <w:ilvl w:val="0"/>
          <w:numId w:val="3"/>
        </w:numPr>
        <w:spacing w:after="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3</w:t>
      </w:r>
      <w:r w:rsidDel="00000000" w:rsidR="00000000" w:rsidRPr="00000000">
        <w:rPr>
          <w:rFonts w:ascii="Times New Roman" w:cs="Times New Roman" w:eastAsia="Times New Roman" w:hAnsi="Times New Roman"/>
          <w:i w:val="1"/>
          <w:sz w:val="20"/>
          <w:szCs w:val="20"/>
          <w:rtl w:val="0"/>
        </w:rPr>
        <w:t xml:space="preserve">: Відновлення та відбудова  на основі безбар`єрності та інклюзивності; фізична і комунікаційна доступність та соціальна інклюзія в реконструкції громад</w:t>
      </w:r>
    </w:p>
    <w:p w:rsidR="00000000" w:rsidDel="00000000" w:rsidP="00000000" w:rsidRDefault="00000000" w:rsidRPr="00000000" w14:paraId="0000000A">
      <w:pPr>
        <w:widowControl w:val="0"/>
        <w:numPr>
          <w:ilvl w:val="0"/>
          <w:numId w:val="3"/>
        </w:numPr>
        <w:spacing w:after="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4</w:t>
      </w:r>
      <w:r w:rsidDel="00000000" w:rsidR="00000000" w:rsidRPr="00000000">
        <w:rPr>
          <w:rFonts w:ascii="Times New Roman" w:cs="Times New Roman" w:eastAsia="Times New Roman" w:hAnsi="Times New Roman"/>
          <w:i w:val="1"/>
          <w:sz w:val="20"/>
          <w:szCs w:val="20"/>
          <w:rtl w:val="0"/>
        </w:rPr>
        <w:t xml:space="preserve">: Залучення через нейтралізацію та подолання бар’єрів.</w:t>
      </w:r>
    </w:p>
    <w:p w:rsidR="00000000" w:rsidDel="00000000" w:rsidP="00000000" w:rsidRDefault="00000000" w:rsidRPr="00000000" w14:paraId="0000000B">
      <w:pPr>
        <w:widowControl w:val="0"/>
        <w:numPr>
          <w:ilvl w:val="0"/>
          <w:numId w:val="3"/>
        </w:numPr>
        <w:spacing w:after="24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5</w:t>
      </w:r>
      <w:r w:rsidDel="00000000" w:rsidR="00000000" w:rsidRPr="00000000">
        <w:rPr>
          <w:rFonts w:ascii="Times New Roman" w:cs="Times New Roman" w:eastAsia="Times New Roman" w:hAnsi="Times New Roman"/>
          <w:i w:val="1"/>
          <w:sz w:val="20"/>
          <w:szCs w:val="20"/>
          <w:rtl w:val="0"/>
        </w:rPr>
        <w:t xml:space="preserve">: Робота з кейсами громади щодо доступності послуг для людей з інвалідністю.</w:t>
      </w:r>
    </w:p>
    <w:p w:rsidR="00000000" w:rsidDel="00000000" w:rsidP="00000000" w:rsidRDefault="00000000" w:rsidRPr="00000000" w14:paraId="0000000C">
      <w:pPr>
        <w:widowControl w:val="0"/>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Навчальна програма розроблена з урахуванням сучасних викликів для неприбуткових організацій та базується на практичних підходах до організаційного розвитку.</w:t>
      </w:r>
    </w:p>
    <w:p w:rsidR="00000000" w:rsidDel="00000000" w:rsidP="00000000" w:rsidRDefault="00000000" w:rsidRPr="00000000" w14:paraId="0000000D">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Формат надання послуг</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офлайн</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00E">
      <w:pPr>
        <w:spacing w:after="20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Період надання послуг:  </w:t>
      </w:r>
      <w:r w:rsidDel="00000000" w:rsidR="00000000" w:rsidRPr="00000000">
        <w:rPr>
          <w:rFonts w:ascii="Times New Roman" w:cs="Times New Roman" w:eastAsia="Times New Roman" w:hAnsi="Times New Roman"/>
          <w:i w:val="1"/>
          <w:color w:val="000000"/>
          <w:sz w:val="20"/>
          <w:szCs w:val="20"/>
          <w:rtl w:val="0"/>
        </w:rPr>
        <w:t xml:space="preserve">листопад </w:t>
      </w:r>
      <w:r w:rsidDel="00000000" w:rsidR="00000000" w:rsidRPr="00000000">
        <w:rPr>
          <w:rFonts w:ascii="Times New Roman" w:cs="Times New Roman" w:eastAsia="Times New Roman" w:hAnsi="Times New Roman"/>
          <w:i w:val="1"/>
          <w:sz w:val="20"/>
          <w:szCs w:val="20"/>
          <w:rtl w:val="0"/>
        </w:rPr>
        <w:t xml:space="preserve">2024-грудень 2024 </w:t>
      </w:r>
    </w:p>
    <w:p w:rsidR="00000000" w:rsidDel="00000000" w:rsidP="00000000" w:rsidRDefault="00000000" w:rsidRPr="00000000" w14:paraId="0000000F">
      <w:pPr>
        <w:spacing w:after="20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Місце проведення</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м. Буча (1 робочий день), м.Ірпінь (1 робочий день), м. Макарів (1 робочий день)</w:t>
      </w:r>
    </w:p>
    <w:p w:rsidR="00000000" w:rsidDel="00000000" w:rsidP="00000000" w:rsidRDefault="00000000" w:rsidRPr="00000000" w14:paraId="00000010">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Кількість надавачів послуг:</w:t>
      </w:r>
      <w:r w:rsidDel="00000000" w:rsidR="00000000" w:rsidRPr="00000000">
        <w:rPr>
          <w:rFonts w:ascii="Times New Roman" w:cs="Times New Roman" w:eastAsia="Times New Roman" w:hAnsi="Times New Roman"/>
          <w:sz w:val="20"/>
          <w:szCs w:val="20"/>
          <w:rtl w:val="0"/>
        </w:rPr>
        <w:t xml:space="preserve"> в рамках даного тендеру буде відібрано 1 переможця.</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Технічне завдання в рамках надання послуг:</w:t>
      </w:r>
    </w:p>
    <w:tbl>
      <w:tblPr>
        <w:tblStyle w:val="Table1"/>
        <w:tblW w:w="1008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4200"/>
        <w:gridCol w:w="4845"/>
        <w:gridCol w:w="1035"/>
        <w:tblGridChange w:id="0">
          <w:tblGrid>
            <w:gridCol w:w="4200"/>
            <w:gridCol w:w="4845"/>
            <w:gridCol w:w="1035"/>
          </w:tblGrid>
        </w:tblGridChange>
      </w:tblGrid>
      <w:tr>
        <w:trPr>
          <w:cantSplit w:val="0"/>
          <w:trHeight w:val="686.36474609375" w:hRule="atLeast"/>
          <w:tblHeader w:val="0"/>
        </w:trPr>
        <w:tc>
          <w:tcPr/>
          <w:p w:rsidR="00000000" w:rsidDel="00000000" w:rsidP="00000000" w:rsidRDefault="00000000" w:rsidRPr="00000000" w14:paraId="00000012">
            <w:pPr>
              <w:widowControl w:val="0"/>
              <w:spacing w:after="20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Завдання та обов’язки залученого тренера\тренерів</w:t>
            </w:r>
          </w:p>
        </w:tc>
        <w:tc>
          <w:tcPr/>
          <w:p w:rsidR="00000000" w:rsidDel="00000000" w:rsidP="00000000" w:rsidRDefault="00000000" w:rsidRPr="00000000" w14:paraId="00000013">
            <w:pPr>
              <w:widowControl w:val="0"/>
              <w:spacing w:after="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w:t>
            </w:r>
          </w:p>
        </w:tc>
        <w:tc>
          <w:tcPr/>
          <w:p w:rsidR="00000000" w:rsidDel="00000000" w:rsidP="00000000" w:rsidRDefault="00000000" w:rsidRPr="00000000" w14:paraId="00000014">
            <w:pPr>
              <w:widowControl w:val="0"/>
              <w:spacing w:after="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Період надання послуг</w:t>
            </w:r>
          </w:p>
        </w:tc>
      </w:tr>
      <w:tr>
        <w:trPr>
          <w:cantSplit w:val="0"/>
          <w:trHeight w:val="731.36474609375" w:hRule="atLeast"/>
          <w:tblHeader w:val="0"/>
        </w:trPr>
        <w:tc>
          <w:tcPr>
            <w:vAlign w:val="center"/>
          </w:tcPr>
          <w:p w:rsidR="00000000" w:rsidDel="00000000" w:rsidP="00000000" w:rsidRDefault="00000000" w:rsidRPr="00000000" w14:paraId="00000015">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Вивчення потреб у вказаних громадах у безбар’єрній реконструкції</w:t>
            </w:r>
          </w:p>
        </w:tc>
        <w:tc>
          <w:tcPr/>
          <w:p w:rsidR="00000000" w:rsidDel="00000000" w:rsidP="00000000" w:rsidRDefault="00000000" w:rsidRPr="00000000" w14:paraId="00000016">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Підготовлений аналітичний звіт за результатами початкового анкетування, що визначає потреби та очікування від програми.</w:t>
            </w:r>
          </w:p>
        </w:tc>
        <w:tc>
          <w:tcPr>
            <w:vAlign w:val="center"/>
          </w:tcPr>
          <w:p w:rsidR="00000000" w:rsidDel="00000000" w:rsidP="00000000" w:rsidRDefault="00000000" w:rsidRPr="00000000" w14:paraId="00000017">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 2024</w:t>
            </w:r>
          </w:p>
        </w:tc>
      </w:tr>
      <w:tr>
        <w:trPr>
          <w:cantSplit w:val="0"/>
          <w:trHeight w:val="1200" w:hRule="atLeast"/>
          <w:tblHeader w:val="0"/>
        </w:trPr>
        <w:tc>
          <w:tcPr>
            <w:vAlign w:val="center"/>
          </w:tcPr>
          <w:p w:rsidR="00000000" w:rsidDel="00000000" w:rsidP="00000000" w:rsidRDefault="00000000" w:rsidRPr="00000000" w14:paraId="00000018">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Розробка програми тренінгу, яка б відповідала потребам громади та включала рекомендації щодо практик імплементації відповідних заходів у громаді та доповнення відповідних локальних документів;,</w:t>
            </w:r>
          </w:p>
        </w:tc>
        <w:tc>
          <w:tcPr/>
          <w:p w:rsidR="00000000" w:rsidDel="00000000" w:rsidP="00000000" w:rsidRDefault="00000000" w:rsidRPr="00000000" w14:paraId="00000019">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Розроблені та погоджені з Фондом п'ять модулів тренінгу з методичними матеріалами, презентаціями та практичними завданнями.</w:t>
            </w:r>
          </w:p>
        </w:tc>
        <w:tc>
          <w:tcPr>
            <w:vAlign w:val="center"/>
          </w:tcPr>
          <w:p w:rsidR="00000000" w:rsidDel="00000000" w:rsidP="00000000" w:rsidRDefault="00000000" w:rsidRPr="00000000" w14:paraId="0000001A">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 2024</w:t>
            </w:r>
          </w:p>
        </w:tc>
      </w:tr>
      <w:tr>
        <w:trPr>
          <w:cantSplit w:val="0"/>
          <w:trHeight w:val="1066" w:hRule="atLeast"/>
          <w:tblHeader w:val="0"/>
        </w:trPr>
        <w:tc>
          <w:tcPr>
            <w:vAlign w:val="center"/>
          </w:tcPr>
          <w:p w:rsidR="00000000" w:rsidDel="00000000" w:rsidP="00000000" w:rsidRDefault="00000000" w:rsidRPr="00000000" w14:paraId="0000001B">
            <w:pPr>
              <w:widowControl w:val="0"/>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Проведення одноденного тренінгу (8 год.) для кожної з 3 визначених громад з  обов’язковим акцентом на питанні: фізична і комунікаційна доступність та соціальна інклюзія в реконструкції громад.</w:t>
            </w:r>
          </w:p>
          <w:p w:rsidR="00000000" w:rsidDel="00000000" w:rsidP="00000000" w:rsidRDefault="00000000" w:rsidRPr="00000000" w14:paraId="0000001C">
            <w:pPr>
              <w:widowControl w:val="0"/>
              <w:spacing w:after="20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01D">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Проведено щонайменше 3 тренінгові сесії в 3 громадах по 8 годин із залученням не менше 20 учасників та учасниць. Підготовлені презентації та роздаткові матеріали передані до Фонду.</w:t>
            </w:r>
          </w:p>
        </w:tc>
        <w:tc>
          <w:tcPr>
            <w:vAlign w:val="center"/>
          </w:tcPr>
          <w:p w:rsidR="00000000" w:rsidDel="00000000" w:rsidP="00000000" w:rsidRDefault="00000000" w:rsidRPr="00000000" w14:paraId="0000001E">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Листопад-грудень 2024</w:t>
            </w:r>
          </w:p>
        </w:tc>
      </w:tr>
      <w:tr>
        <w:trPr>
          <w:cantSplit w:val="0"/>
          <w:trHeight w:val="1035" w:hRule="atLeast"/>
          <w:tblHeader w:val="0"/>
        </w:trPr>
        <w:tc>
          <w:tcPr>
            <w:vAlign w:val="center"/>
          </w:tcPr>
          <w:p w:rsidR="00000000" w:rsidDel="00000000" w:rsidP="00000000" w:rsidRDefault="00000000" w:rsidRPr="00000000" w14:paraId="0000001F">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 час тренінгу необхідно визначити фактори у муніципалітетах, які перешкоджають участі та доступу людей з інвалідністю, і знайти рішення про те, як їх можна усунути.</w:t>
            </w:r>
          </w:p>
        </w:tc>
        <w:tc>
          <w:tcPr/>
          <w:p w:rsidR="00000000" w:rsidDel="00000000" w:rsidP="00000000" w:rsidRDefault="00000000" w:rsidRPr="00000000" w14:paraId="00000020">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Підготовлені та передані Фонду розробки у вигляді напрацювань учасників тренінгу в кожній громаді. </w:t>
            </w:r>
          </w:p>
        </w:tc>
        <w:tc>
          <w:tcPr>
            <w:vAlign w:val="center"/>
          </w:tcPr>
          <w:p w:rsidR="00000000" w:rsidDel="00000000" w:rsidP="00000000" w:rsidRDefault="00000000" w:rsidRPr="00000000" w14:paraId="00000021">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Листопад-грудень 2024</w:t>
            </w:r>
          </w:p>
        </w:tc>
      </w:tr>
      <w:tr>
        <w:trPr>
          <w:cantSplit w:val="0"/>
          <w:trHeight w:val="1205.60791015625" w:hRule="atLeast"/>
          <w:tblHeader w:val="0"/>
        </w:trPr>
        <w:tc>
          <w:tcPr>
            <w:vAlign w:val="center"/>
          </w:tcPr>
          <w:p w:rsidR="00000000" w:rsidDel="00000000" w:rsidP="00000000" w:rsidRDefault="00000000" w:rsidRPr="00000000" w14:paraId="00000022">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Проведення фінального анкетування для визначення рівня задоволеності учасників.</w:t>
            </w:r>
          </w:p>
          <w:p w:rsidR="00000000" w:rsidDel="00000000" w:rsidP="00000000" w:rsidRDefault="00000000" w:rsidRPr="00000000" w14:paraId="00000023">
            <w:pPr>
              <w:widowControl w:val="0"/>
              <w:spacing w:after="20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024">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Підготовлений аналітичний звіт з результатами фінального анкетування, що включає аналітику щодо відвідуваності учасників, а також рівню задоволеності та рекомендації для Фонду в цілому. </w:t>
            </w:r>
          </w:p>
        </w:tc>
        <w:tc>
          <w:tcPr>
            <w:vAlign w:val="center"/>
          </w:tcPr>
          <w:p w:rsidR="00000000" w:rsidDel="00000000" w:rsidP="00000000" w:rsidRDefault="00000000" w:rsidRPr="00000000" w14:paraId="00000025">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грудень 2024</w:t>
            </w:r>
          </w:p>
        </w:tc>
      </w:tr>
      <w:tr>
        <w:trPr>
          <w:cantSplit w:val="0"/>
          <w:trHeight w:val="953.486328125" w:hRule="atLeast"/>
          <w:tblHeader w:val="0"/>
        </w:trPr>
        <w:tc>
          <w:tcPr>
            <w:vAlign w:val="center"/>
          </w:tcPr>
          <w:p w:rsidR="00000000" w:rsidDel="00000000" w:rsidP="00000000" w:rsidRDefault="00000000" w:rsidRPr="00000000" w14:paraId="00000026">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Підготовка фінального звіту за результатами проведеної навчальної програми, аналіз викликів, які виникли в рамках проведеного навчання.</w:t>
            </w:r>
          </w:p>
        </w:tc>
        <w:tc>
          <w:tcPr/>
          <w:p w:rsidR="00000000" w:rsidDel="00000000" w:rsidP="00000000" w:rsidRDefault="00000000" w:rsidRPr="00000000" w14:paraId="00000027">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Підготовлений фінальний звіт за результатами проведеної навчальної програми, аналіз викликів, які виникли в рамках проведення навчання.</w:t>
            </w:r>
          </w:p>
        </w:tc>
        <w:tc>
          <w:tcPr>
            <w:vAlign w:val="center"/>
          </w:tcPr>
          <w:p w:rsidR="00000000" w:rsidDel="00000000" w:rsidP="00000000" w:rsidRDefault="00000000" w:rsidRPr="00000000" w14:paraId="00000028">
            <w:pPr>
              <w:widowControl w:val="0"/>
              <w:spacing w:after="200" w:lineRule="auto"/>
              <w:jc w:val="both"/>
              <w:rPr>
                <w:rFonts w:ascii="Times New Roman" w:cs="Times New Roman" w:eastAsia="Times New Roman" w:hAnsi="Times New Roman"/>
                <w:i w:val="1"/>
                <w:color w:val="38761d"/>
                <w:sz w:val="20"/>
                <w:szCs w:val="20"/>
              </w:rPr>
            </w:pPr>
            <w:r w:rsidDel="00000000" w:rsidR="00000000" w:rsidRPr="00000000">
              <w:rPr>
                <w:rFonts w:ascii="Times New Roman" w:cs="Times New Roman" w:eastAsia="Times New Roman" w:hAnsi="Times New Roman"/>
                <w:i w:val="1"/>
                <w:sz w:val="20"/>
                <w:szCs w:val="20"/>
                <w:rtl w:val="0"/>
              </w:rPr>
              <w:t xml:space="preserve">Грудень 2024</w:t>
            </w: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29">
            <w:pPr>
              <w:widowControl w:val="0"/>
              <w:spacing w:after="200" w:lineRule="auto"/>
              <w:rPr>
                <w:rFonts w:ascii="Times New Roman" w:cs="Times New Roman" w:eastAsia="Times New Roman" w:hAnsi="Times New Roman"/>
                <w:b w:val="1"/>
                <w:i w:val="1"/>
                <w:sz w:val="20"/>
                <w:szCs w:val="20"/>
                <w:highlight w:val="white"/>
              </w:rPr>
            </w:pPr>
            <w:r w:rsidDel="00000000" w:rsidR="00000000" w:rsidRPr="00000000">
              <w:rPr>
                <w:rFonts w:ascii="Times New Roman" w:cs="Times New Roman" w:eastAsia="Times New Roman" w:hAnsi="Times New Roman"/>
                <w:b w:val="1"/>
                <w:i w:val="1"/>
                <w:sz w:val="20"/>
                <w:szCs w:val="20"/>
                <w:highlight w:val="white"/>
                <w:rtl w:val="0"/>
              </w:rPr>
              <w:t xml:space="preserve">Загальна кількість годин,  24 години</w:t>
            </w:r>
          </w:p>
        </w:tc>
        <w:tc>
          <w:tcPr/>
          <w:p w:rsidR="00000000" w:rsidDel="00000000" w:rsidP="00000000" w:rsidRDefault="00000000" w:rsidRPr="00000000" w14:paraId="0000002A">
            <w:pPr>
              <w:widowControl w:val="0"/>
              <w:spacing w:after="200" w:lineRule="auto"/>
              <w:rPr>
                <w:rFonts w:ascii="Times New Roman" w:cs="Times New Roman" w:eastAsia="Times New Roman" w:hAnsi="Times New Roman"/>
                <w:b w:val="1"/>
                <w:i w:val="1"/>
                <w:sz w:val="20"/>
                <w:szCs w:val="20"/>
              </w:rPr>
            </w:pPr>
            <w:r w:rsidDel="00000000" w:rsidR="00000000" w:rsidRPr="00000000">
              <w:rPr>
                <w:rtl w:val="0"/>
              </w:rPr>
            </w:r>
          </w:p>
        </w:tc>
        <w:tc>
          <w:tcPr>
            <w:vAlign w:val="center"/>
          </w:tcPr>
          <w:p w:rsidR="00000000" w:rsidDel="00000000" w:rsidP="00000000" w:rsidRDefault="00000000" w:rsidRPr="00000000" w14:paraId="0000002B">
            <w:pPr>
              <w:widowControl w:val="0"/>
              <w:spacing w:after="200" w:lineRule="auto"/>
              <w:jc w:val="both"/>
              <w:rPr>
                <w:rFonts w:ascii="Times New Roman" w:cs="Times New Roman" w:eastAsia="Times New Roman" w:hAnsi="Times New Roman"/>
                <w:b w:val="1"/>
                <w:i w:val="1"/>
                <w:sz w:val="20"/>
                <w:szCs w:val="20"/>
              </w:rPr>
            </w:pPr>
            <w:r w:rsidDel="00000000" w:rsidR="00000000" w:rsidRPr="00000000">
              <w:rPr>
                <w:rtl w:val="0"/>
              </w:rPr>
            </w:r>
          </w:p>
        </w:tc>
      </w:tr>
    </w:tbl>
    <w:p w:rsidR="00000000" w:rsidDel="00000000" w:rsidP="00000000" w:rsidRDefault="00000000" w:rsidRPr="00000000" w14:paraId="0000002C">
      <w:pPr>
        <w:widowControl w:val="0"/>
        <w:spacing w:after="20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D">
      <w:pPr>
        <w:widowControl w:val="0"/>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2. Звітність </w:t>
      </w:r>
    </w:p>
    <w:p w:rsidR="00000000" w:rsidDel="00000000" w:rsidP="00000000" w:rsidRDefault="00000000" w:rsidRPr="00000000" w14:paraId="0000002E">
      <w:pPr>
        <w:spacing w:after="20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Виконавець</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подає звіти по кожному модулю про хід виконання програми, зокрема опис проведених заходів, досягнення результатів, аналіз зворотного зв'язку від учасників, описовий звіт за кожним із передбачених модулів, презентації до кожного модулю, рекомендаційні матеріали, акти виконаних робіт, фотозвіти та реєстраційні списки. Всі матеріали розроблені в рамках реалізації проекту зберігаються на корпоративному диску Фонду.</w:t>
      </w:r>
    </w:p>
    <w:p w:rsidR="00000000" w:rsidDel="00000000" w:rsidP="00000000" w:rsidRDefault="00000000" w:rsidRPr="00000000" w14:paraId="0000002F">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Звіти та всі супровідні матеріали, виготовлені Виконавцем в рамках проєкту, передані Фонду без обтяження щодо авторських прав.</w:t>
      </w:r>
    </w:p>
    <w:p w:rsidR="00000000" w:rsidDel="00000000" w:rsidP="00000000" w:rsidRDefault="00000000" w:rsidRPr="00000000" w14:paraId="00000030">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Звіт подається щомісячно по закінченню модуля. </w:t>
      </w:r>
    </w:p>
    <w:p w:rsidR="00000000" w:rsidDel="00000000" w:rsidP="00000000" w:rsidRDefault="00000000" w:rsidRPr="00000000" w14:paraId="00000031">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Підсумковий звіт за результатами </w:t>
      </w:r>
      <w:r w:rsidDel="00000000" w:rsidR="00000000" w:rsidRPr="00000000">
        <w:rPr>
          <w:rFonts w:ascii="Times New Roman" w:cs="Times New Roman" w:eastAsia="Times New Roman" w:hAnsi="Times New Roman"/>
          <w:i w:val="1"/>
          <w:sz w:val="20"/>
          <w:szCs w:val="20"/>
          <w:rtl w:val="0"/>
        </w:rPr>
        <w:t xml:space="preserve">проведеного тренінгу, </w:t>
      </w:r>
      <w:r w:rsidDel="00000000" w:rsidR="00000000" w:rsidRPr="00000000">
        <w:rPr>
          <w:rFonts w:ascii="Times New Roman" w:cs="Times New Roman" w:eastAsia="Times New Roman" w:hAnsi="Times New Roman"/>
          <w:sz w:val="20"/>
          <w:szCs w:val="20"/>
          <w:rtl w:val="0"/>
        </w:rPr>
        <w:t xml:space="preserve">що має включати: опис виконаних завдань та проведених активностей; аналіз того, чи досягнута мета тренінгу; аналіз зворотного зв'язку; аналіз результатів та досягнення цілей; уроки, отримані під час проведення </w:t>
      </w:r>
      <w:r w:rsidDel="00000000" w:rsidR="00000000" w:rsidRPr="00000000">
        <w:rPr>
          <w:rFonts w:ascii="Times New Roman" w:cs="Times New Roman" w:eastAsia="Times New Roman" w:hAnsi="Times New Roman"/>
          <w:i w:val="1"/>
          <w:sz w:val="20"/>
          <w:szCs w:val="20"/>
          <w:rtl w:val="0"/>
        </w:rPr>
        <w:t xml:space="preserve">тренінгу;</w:t>
      </w:r>
      <w:r w:rsidDel="00000000" w:rsidR="00000000" w:rsidRPr="00000000">
        <w:rPr>
          <w:rFonts w:ascii="Times New Roman" w:cs="Times New Roman" w:eastAsia="Times New Roman" w:hAnsi="Times New Roman"/>
          <w:sz w:val="20"/>
          <w:szCs w:val="20"/>
          <w:rtl w:val="0"/>
        </w:rPr>
        <w:t xml:space="preserve"> рекомендації подальшого розвитку для Фонду в цілому; порівняльний аналіз початкових очікувань та кінцевих результатів </w:t>
      </w:r>
      <w:r w:rsidDel="00000000" w:rsidR="00000000" w:rsidRPr="00000000">
        <w:rPr>
          <w:rFonts w:ascii="Times New Roman" w:cs="Times New Roman" w:eastAsia="Times New Roman" w:hAnsi="Times New Roman"/>
          <w:i w:val="1"/>
          <w:sz w:val="20"/>
          <w:szCs w:val="20"/>
          <w:rtl w:val="0"/>
        </w:rPr>
        <w:t xml:space="preserve">по кожній з громад окремо.</w:t>
      </w:r>
      <w:r w:rsidDel="00000000" w:rsidR="00000000" w:rsidRPr="00000000">
        <w:rPr>
          <w:rFonts w:ascii="Times New Roman" w:cs="Times New Roman" w:eastAsia="Times New Roman" w:hAnsi="Times New Roman"/>
          <w:sz w:val="20"/>
          <w:szCs w:val="20"/>
          <w:rtl w:val="0"/>
        </w:rPr>
        <w:t xml:space="preserve"> </w:t>
        <w:br w:type="textWrapping"/>
      </w:r>
    </w:p>
    <w:p w:rsidR="00000000" w:rsidDel="00000000" w:rsidP="00000000" w:rsidRDefault="00000000" w:rsidRPr="00000000" w14:paraId="00000032">
      <w:pPr>
        <w:spacing w:after="200" w:line="24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3. Умови співпраці</w:t>
      </w:r>
    </w:p>
    <w:p w:rsidR="00000000" w:rsidDel="00000000" w:rsidP="00000000" w:rsidRDefault="00000000" w:rsidRPr="00000000" w14:paraId="00000033">
      <w:pPr>
        <w:spacing w:after="20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color w:val="000000"/>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sidDel="00000000" w:rsidR="00000000" w:rsidRPr="00000000">
        <w:rPr>
          <w:rFonts w:ascii="Times New Roman" w:cs="Times New Roman" w:eastAsia="Times New Roman" w:hAnsi="Times New Roman"/>
          <w:sz w:val="20"/>
          <w:szCs w:val="20"/>
          <w:rtl w:val="0"/>
        </w:rPr>
        <w:t xml:space="preserve"> протягом 7 робочих днів з дати підписання Акту виконаних робіт.  Акт виконаних робіт має бути поданий кожного місяця, протягом 7 днів після проведення кожного навчального модулю. </w:t>
      </w:r>
      <w:r w:rsidDel="00000000" w:rsidR="00000000" w:rsidRPr="00000000">
        <w:rPr>
          <w:rtl w:val="0"/>
        </w:rPr>
      </w:r>
    </w:p>
    <w:p w:rsidR="00000000" w:rsidDel="00000000" w:rsidP="00000000" w:rsidRDefault="00000000" w:rsidRPr="00000000" w14:paraId="00000035">
      <w:pPr>
        <w:shd w:fill="ffffff" w:val="clear"/>
        <w:spacing w:after="0" w:line="240" w:lineRule="auto"/>
        <w:ind w:firstLine="141.732283464566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Витрати на переміщення/ проживання та  д</w:t>
      </w:r>
      <w:r w:rsidDel="00000000" w:rsidR="00000000" w:rsidRPr="00000000">
        <w:rPr>
          <w:rFonts w:ascii="Times New Roman" w:cs="Times New Roman" w:eastAsia="Times New Roman" w:hAnsi="Times New Roman"/>
          <w:sz w:val="20"/>
          <w:szCs w:val="20"/>
          <w:rtl w:val="0"/>
        </w:rPr>
        <w:t xml:space="preserve">обові тренерському складу - не оплачуються.  </w:t>
      </w:r>
    </w:p>
    <w:p w:rsidR="00000000" w:rsidDel="00000000" w:rsidP="00000000" w:rsidRDefault="00000000" w:rsidRPr="00000000" w14:paraId="00000036">
      <w:pPr>
        <w:spacing w:after="240" w:before="240" w:line="240" w:lineRule="auto"/>
        <w:ind w:firstLine="141.732283464566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 немає бути 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37">
      <w:pPr>
        <w:spacing w:after="240" w:before="240" w:line="240" w:lineRule="auto"/>
        <w:ind w:firstLine="141.732283464566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 немає перебувати в процесі припинення діяльності ФОП.</w:t>
      </w:r>
      <w:r w:rsidDel="00000000" w:rsidR="00000000" w:rsidRPr="00000000">
        <w:rPr>
          <w:rFonts w:ascii="Times New Roman" w:cs="Times New Roman" w:eastAsia="Times New Roman" w:hAnsi="Times New Roman"/>
          <w:sz w:val="20"/>
          <w:szCs w:val="20"/>
          <w:rtl w:val="0"/>
        </w:rPr>
        <w:t xml:space="preserve">  Учасник може не бути зареєстрованим ФОП на момент подання заявки, але гарантує зареєструватися протягом 3 днів з дати оголошення переможцем тендеру. </w:t>
      </w:r>
      <w:r w:rsidDel="00000000" w:rsidR="00000000" w:rsidRPr="00000000">
        <w:rPr>
          <w:rtl w:val="0"/>
        </w:rPr>
      </w:r>
    </w:p>
    <w:p w:rsidR="00000000" w:rsidDel="00000000" w:rsidP="00000000" w:rsidRDefault="00000000" w:rsidRPr="00000000" w14:paraId="00000038">
      <w:pPr>
        <w:spacing w:after="200" w:line="276" w:lineRule="auto"/>
        <w:ind w:left="720" w:firstLine="0"/>
        <w:jc w:val="both"/>
        <w:rPr>
          <w:rFonts w:ascii="Times New Roman" w:cs="Times New Roman" w:eastAsia="Times New Roman" w:hAnsi="Times New Roman"/>
          <w:b w:val="1"/>
          <w:sz w:val="20"/>
          <w:szCs w:val="20"/>
        </w:rPr>
      </w:pPr>
      <w:bookmarkStart w:colFirst="0" w:colLast="0" w:name="_heading=h.gtn8vjw8g2pr" w:id="0"/>
      <w:bookmarkEnd w:id="0"/>
      <w:r w:rsidDel="00000000" w:rsidR="00000000" w:rsidRPr="00000000">
        <w:rPr>
          <w:rtl w:val="0"/>
        </w:rPr>
      </w:r>
    </w:p>
    <w:p w:rsidR="00000000" w:rsidDel="00000000" w:rsidP="00000000" w:rsidRDefault="00000000" w:rsidRPr="00000000" w14:paraId="00000039">
      <w:pPr>
        <w:spacing w:after="200" w:line="276" w:lineRule="auto"/>
        <w:ind w:left="720" w:firstLine="0"/>
        <w:jc w:val="both"/>
        <w:rPr>
          <w:rFonts w:ascii="Times New Roman" w:cs="Times New Roman" w:eastAsia="Times New Roman" w:hAnsi="Times New Roman"/>
          <w:b w:val="1"/>
          <w:sz w:val="20"/>
          <w:szCs w:val="20"/>
        </w:rPr>
      </w:pPr>
      <w:bookmarkStart w:colFirst="0" w:colLast="0" w:name="_heading=h.30j0zll" w:id="1"/>
      <w:bookmarkEnd w:id="1"/>
      <w:r w:rsidDel="00000000" w:rsidR="00000000" w:rsidRPr="00000000">
        <w:rPr>
          <w:rFonts w:ascii="Times New Roman" w:cs="Times New Roman" w:eastAsia="Times New Roman" w:hAnsi="Times New Roman"/>
          <w:b w:val="1"/>
          <w:sz w:val="20"/>
          <w:szCs w:val="20"/>
          <w:rtl w:val="0"/>
        </w:rPr>
        <w:t xml:space="preserve">4. Вимоги до подання технічної  пропозиції</w:t>
      </w:r>
    </w:p>
    <w:p w:rsidR="00000000" w:rsidDel="00000000" w:rsidP="00000000" w:rsidRDefault="00000000" w:rsidRPr="00000000" w14:paraId="0000003A">
      <w:pPr>
        <w:spacing w:after="20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Пропозиція повинна бути складена </w:t>
      </w:r>
      <w:r w:rsidDel="00000000" w:rsidR="00000000" w:rsidRPr="00000000">
        <w:rPr>
          <w:rFonts w:ascii="Times New Roman" w:cs="Times New Roman" w:eastAsia="Times New Roman" w:hAnsi="Times New Roman"/>
          <w:b w:val="1"/>
          <w:sz w:val="20"/>
          <w:szCs w:val="20"/>
          <w:highlight w:val="white"/>
          <w:u w:val="single"/>
          <w:rtl w:val="0"/>
        </w:rPr>
        <w:t xml:space="preserve">українською мовою</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3B">
      <w:pPr>
        <w:widowControl w:val="0"/>
        <w:spacing w:after="200" w:lineRule="auto"/>
        <w:jc w:val="both"/>
        <w:rPr>
          <w:rFonts w:ascii="Times New Roman" w:cs="Times New Roman" w:eastAsia="Times New Roman" w:hAnsi="Times New Roman"/>
          <w:sz w:val="20"/>
          <w:szCs w:val="20"/>
        </w:rPr>
      </w:pPr>
      <w:bookmarkStart w:colFirst="0" w:colLast="0" w:name="_heading=h.gjdgxs" w:id="2"/>
      <w:bookmarkEnd w:id="2"/>
      <w:r w:rsidDel="00000000" w:rsidR="00000000" w:rsidRPr="00000000">
        <w:rPr>
          <w:rFonts w:ascii="Times New Roman" w:cs="Times New Roman" w:eastAsia="Times New Roman" w:hAnsi="Times New Roman"/>
          <w:sz w:val="20"/>
          <w:szCs w:val="20"/>
          <w:rtl w:val="0"/>
        </w:rPr>
        <w:t xml:space="preserve">Просимо надати наступний пакет документів, який буде містити::</w:t>
      </w:r>
    </w:p>
    <w:p w:rsidR="00000000" w:rsidDel="00000000" w:rsidP="00000000" w:rsidRDefault="00000000" w:rsidRPr="00000000" w14:paraId="0000003C">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Контактну інформацію виконавця;</w:t>
      </w:r>
    </w:p>
    <w:p w:rsidR="00000000" w:rsidDel="00000000" w:rsidP="00000000" w:rsidRDefault="00000000" w:rsidRPr="00000000" w14:paraId="0000003D">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 тренерів з детальним описом релевантного досвіду за останні 5 років; </w:t>
      </w:r>
    </w:p>
    <w:p w:rsidR="00000000" w:rsidDel="00000000" w:rsidP="00000000" w:rsidRDefault="00000000" w:rsidRPr="00000000" w14:paraId="0000003E">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Зразки розроблених методичних матеріалів (методологій, звітів, рекомендацій, програм тренінгів, посібників тощо), для першого модулю навчальної програми. Подавати в форматі pdf, word, excel, Powerpoint чи інших форматах, які доступні для загального перегляду.</w:t>
      </w:r>
    </w:p>
    <w:p w:rsidR="00000000" w:rsidDel="00000000" w:rsidP="00000000" w:rsidRDefault="00000000" w:rsidRPr="00000000" w14:paraId="0000003F">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Рекомендаційні листи з підтверджуючими контактами від громадських організацій, які стосуються релевантного досвіду проведення навчальних програм для ТОП менеджменту. </w:t>
      </w:r>
    </w:p>
    <w:p w:rsidR="00000000" w:rsidDel="00000000" w:rsidP="00000000" w:rsidRDefault="00000000" w:rsidRPr="00000000" w14:paraId="00000040">
      <w:pPr>
        <w:numPr>
          <w:ilvl w:val="0"/>
          <w:numId w:val="4"/>
        </w:numPr>
        <w:spacing w:after="200" w:lineRule="auto"/>
        <w:ind w:left="720" w:hanging="360"/>
        <w:jc w:val="both"/>
        <w:rPr>
          <w:rFonts w:ascii="Times New Roman" w:cs="Times New Roman" w:eastAsia="Times New Roman" w:hAnsi="Times New Roman"/>
          <w:sz w:val="20"/>
          <w:szCs w:val="20"/>
        </w:rPr>
      </w:pPr>
      <w:bookmarkStart w:colFirst="0" w:colLast="0" w:name="_heading=h.1fob9te" w:id="3"/>
      <w:bookmarkEnd w:id="3"/>
      <w:r w:rsidDel="00000000" w:rsidR="00000000" w:rsidRPr="00000000">
        <w:rPr>
          <w:rFonts w:ascii="Times New Roman" w:cs="Times New Roman" w:eastAsia="Times New Roman" w:hAnsi="Times New Roman"/>
          <w:sz w:val="20"/>
          <w:szCs w:val="20"/>
          <w:rtl w:val="0"/>
        </w:rPr>
        <w:t xml:space="preserve">Рекомендації для органів самоврядування щодо покращення політик в сфері інструментів </w:t>
      </w:r>
      <w:r w:rsidDel="00000000" w:rsidR="00000000" w:rsidRPr="00000000">
        <w:rPr>
          <w:rFonts w:ascii="Times New Roman" w:cs="Times New Roman" w:eastAsia="Times New Roman" w:hAnsi="Times New Roman"/>
          <w:i w:val="1"/>
          <w:sz w:val="20"/>
          <w:szCs w:val="20"/>
          <w:rtl w:val="0"/>
        </w:rPr>
        <w:t xml:space="preserve">підходів безбарєрності та інклюзивності.</w:t>
      </w:r>
      <w:r w:rsidDel="00000000" w:rsidR="00000000" w:rsidRPr="00000000">
        <w:rPr>
          <w:rtl w:val="0"/>
        </w:rPr>
      </w:r>
    </w:p>
    <w:p w:rsidR="00000000" w:rsidDel="00000000" w:rsidP="00000000" w:rsidRDefault="00000000" w:rsidRPr="00000000" w14:paraId="00000041">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Установчі документи (виписка з ЄДР, витяг з реєстру платників податків).</w:t>
      </w:r>
    </w:p>
    <w:p w:rsidR="00000000" w:rsidDel="00000000" w:rsidP="00000000" w:rsidRDefault="00000000" w:rsidRPr="00000000" w14:paraId="00000042">
      <w:pPr>
        <w:keepNext w:val="1"/>
        <w:keepLines w:val="1"/>
        <w:pBdr>
          <w:top w:space="0" w:sz="0" w:val="nil"/>
          <w:left w:space="0" w:sz="0" w:val="nil"/>
          <w:bottom w:space="0" w:sz="0" w:val="nil"/>
          <w:right w:space="0" w:sz="0" w:val="nil"/>
          <w:between w:space="0" w:sz="0" w:val="nil"/>
        </w:pBdr>
        <w:spacing w:after="200" w:before="186" w:lineRule="auto"/>
        <w:ind w:left="720"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3">
      <w:pPr>
        <w:keepNext w:val="1"/>
        <w:keepLines w:val="1"/>
        <w:pBdr>
          <w:top w:space="0" w:sz="0" w:val="nil"/>
          <w:left w:space="0" w:sz="0" w:val="nil"/>
          <w:bottom w:space="0" w:sz="0" w:val="nil"/>
          <w:right w:space="0" w:sz="0" w:val="nil"/>
          <w:between w:space="0" w:sz="0" w:val="nil"/>
        </w:pBdr>
        <w:spacing w:after="200" w:before="186" w:lineRule="auto"/>
        <w:ind w:left="72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b w:val="1"/>
          <w:color w:val="000000"/>
          <w:sz w:val="20"/>
          <w:szCs w:val="20"/>
          <w:rtl w:val="0"/>
        </w:rPr>
        <w:t xml:space="preserve">Підведення підсумків конкурсу</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00" w:line="240" w:lineRule="auto"/>
        <w:ind w:left="0" w:firstLine="0"/>
        <w:jc w:val="both"/>
        <w:rPr>
          <w:rFonts w:ascii="Times New Roman" w:cs="Times New Roman" w:eastAsia="Times New Roman" w:hAnsi="Times New Roman"/>
          <w:sz w:val="20"/>
          <w:szCs w:val="20"/>
        </w:rPr>
      </w:pPr>
      <w:r w:rsidDel="00000000" w:rsidR="00000000" w:rsidRPr="00000000">
        <w:rPr>
          <w:rtl w:val="0"/>
        </w:rPr>
      </w:r>
    </w:p>
    <w:tbl>
      <w:tblPr>
        <w:tblStyle w:val="Table2"/>
        <w:tblW w:w="9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
        <w:gridCol w:w="2205"/>
        <w:gridCol w:w="6435"/>
        <w:gridCol w:w="915"/>
        <w:tblGridChange w:id="0">
          <w:tblGrid>
            <w:gridCol w:w="300"/>
            <w:gridCol w:w="2205"/>
            <w:gridCol w:w="6435"/>
            <w:gridCol w:w="91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6">
            <w:pPr>
              <w:spacing w:after="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ШКАЛА ОЦІНКИ ТЕХНІЧНИХ ВИМОГ </w:t>
            </w:r>
          </w:p>
        </w:tc>
      </w:tr>
      <w:tr>
        <w:trPr>
          <w:cantSplit w:val="0"/>
          <w:trHeight w:val="1028.486328125"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A">
            <w:pPr>
              <w:spacing w:after="200" w:lineRule="auto"/>
              <w:jc w:val="both"/>
              <w:rPr>
                <w:rFonts w:ascii="Times New Roman" w:cs="Times New Roman" w:eastAsia="Times New Roman" w:hAnsi="Times New Roman"/>
                <w:sz w:val="20"/>
                <w:szCs w:val="20"/>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B">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технічним вимогам</w:t>
            </w:r>
          </w:p>
        </w:tc>
        <w:tc>
          <w:tcPr>
            <w:shd w:fill="dbe5f1" w:val="clear"/>
            <w:vAlign w:val="center"/>
          </w:tcPr>
          <w:p w:rsidR="00000000" w:rsidDel="00000000" w:rsidP="00000000" w:rsidRDefault="00000000" w:rsidRPr="00000000" w14:paraId="0000004C">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4D">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973.2470703124995" w:hRule="atLeast"/>
          <w:tblHeader w:val="0"/>
        </w:trPr>
        <w:tc>
          <w:tcPr>
            <w:tcMar>
              <w:top w:w="0.0" w:type="dxa"/>
              <w:left w:w="45.0" w:type="dxa"/>
              <w:bottom w:w="0.0" w:type="dxa"/>
              <w:right w:w="45.0" w:type="dxa"/>
            </w:tcMar>
            <w:vAlign w:val="center"/>
          </w:tcPr>
          <w:p w:rsidR="00000000" w:rsidDel="00000000" w:rsidP="00000000" w:rsidRDefault="00000000" w:rsidRPr="00000000" w14:paraId="0000004E">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F">
            <w:pPr>
              <w:widowControl w:val="0"/>
              <w:spacing w:after="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зразок </w:t>
            </w:r>
            <w:r w:rsidDel="00000000" w:rsidR="00000000" w:rsidRPr="00000000">
              <w:rPr>
                <w:rFonts w:ascii="Times New Roman" w:cs="Times New Roman" w:eastAsia="Times New Roman" w:hAnsi="Times New Roman"/>
                <w:i w:val="1"/>
                <w:sz w:val="20"/>
                <w:szCs w:val="20"/>
                <w:rtl w:val="0"/>
              </w:rPr>
              <w:t xml:space="preserve">розробленої  програми тренінгу, з детальною розробленою методологією втілення</w:t>
            </w:r>
            <w:r w:rsidDel="00000000" w:rsidR="00000000" w:rsidRPr="00000000">
              <w:rPr>
                <w:rFonts w:ascii="Times New Roman" w:cs="Times New Roman" w:eastAsia="Times New Roman" w:hAnsi="Times New Roman"/>
                <w:sz w:val="20"/>
                <w:szCs w:val="20"/>
                <w:rtl w:val="0"/>
              </w:rPr>
              <w:t xml:space="preserve">  відповідно до навчальної програми.  </w:t>
              <w:br w:type="textWrapping"/>
            </w:r>
            <w:r w:rsidDel="00000000" w:rsidR="00000000" w:rsidRPr="00000000">
              <w:rPr>
                <w:rFonts w:ascii="Times New Roman" w:cs="Times New Roman" w:eastAsia="Times New Roman" w:hAnsi="Times New Roman"/>
                <w:b w:val="1"/>
                <w:sz w:val="20"/>
                <w:szCs w:val="20"/>
                <w:rtl w:val="0"/>
              </w:rPr>
              <w:t xml:space="preserve">Оцінюється членами технічного комітету.</w:t>
            </w:r>
          </w:p>
          <w:p w:rsidR="00000000" w:rsidDel="00000000" w:rsidP="00000000" w:rsidRDefault="00000000" w:rsidRPr="00000000" w14:paraId="00000050">
            <w:pPr>
              <w:widowControl w:val="0"/>
              <w:spacing w:after="20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05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надані матеріали містять ґрунтовне пропрацювання  методології викладу </w:t>
            </w:r>
            <w:r w:rsidDel="00000000" w:rsidR="00000000" w:rsidRPr="00000000">
              <w:rPr>
                <w:rFonts w:ascii="Times New Roman" w:cs="Times New Roman" w:eastAsia="Times New Roman" w:hAnsi="Times New Roman"/>
                <w:i w:val="1"/>
                <w:sz w:val="20"/>
                <w:szCs w:val="20"/>
                <w:rtl w:val="0"/>
              </w:rPr>
              <w:t xml:space="preserve">тренінгу</w:t>
            </w:r>
            <w:r w:rsidDel="00000000" w:rsidR="00000000" w:rsidRPr="00000000">
              <w:rPr>
                <w:rFonts w:ascii="Times New Roman" w:cs="Times New Roman" w:eastAsia="Times New Roman" w:hAnsi="Times New Roman"/>
                <w:sz w:val="20"/>
                <w:szCs w:val="20"/>
                <w:rtl w:val="0"/>
              </w:rPr>
              <w:t xml:space="preserve"> із детальним описом кожної частини навчального модулю. </w:t>
              <w:br w:type="textWrapping"/>
              <w:br w:type="textWrapping"/>
              <w:t xml:space="preserve">20 балів - надані матеріали, містять  методології викладу тренінгового модулю без  деталізованого опису. </w:t>
            </w:r>
          </w:p>
          <w:p w:rsidR="00000000" w:rsidDel="00000000" w:rsidP="00000000" w:rsidRDefault="00000000" w:rsidRPr="00000000" w14:paraId="0000005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надані матеріали дотичні до теми, але не містять деталізації та опису методології. </w:t>
            </w:r>
          </w:p>
          <w:p w:rsidR="00000000" w:rsidDel="00000000" w:rsidP="00000000" w:rsidRDefault="00000000" w:rsidRPr="00000000" w14:paraId="0000005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54">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30</w:t>
            </w:r>
          </w:p>
        </w:tc>
      </w:tr>
      <w:tr>
        <w:trPr>
          <w:cantSplit w:val="0"/>
          <w:trHeight w:val="1575.60791015625" w:hRule="atLeast"/>
          <w:tblHeader w:val="0"/>
        </w:trPr>
        <w:tc>
          <w:tcPr>
            <w:tcMar>
              <w:top w:w="0.0" w:type="dxa"/>
              <w:left w:w="45.0" w:type="dxa"/>
              <w:bottom w:w="0.0" w:type="dxa"/>
              <w:right w:w="45.0" w:type="dxa"/>
            </w:tcMar>
            <w:vAlign w:val="center"/>
          </w:tcPr>
          <w:p w:rsidR="00000000" w:rsidDel="00000000" w:rsidP="00000000" w:rsidRDefault="00000000" w:rsidRPr="00000000" w14:paraId="00000055">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6">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Рекомендаційні листи від НГО міжнародних або національного рівня</w:t>
            </w:r>
          </w:p>
          <w:p w:rsidR="00000000" w:rsidDel="00000000" w:rsidP="00000000" w:rsidRDefault="00000000" w:rsidRPr="00000000" w14:paraId="00000057">
            <w:pPr>
              <w:widowControl w:val="0"/>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widowControl w:val="0"/>
              <w:spacing w:after="20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59">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за кожен рекомендаційний лист, максимум 15 балів  </w:t>
            </w:r>
          </w:p>
          <w:p w:rsidR="00000000" w:rsidDel="00000000" w:rsidP="00000000" w:rsidRDefault="00000000" w:rsidRPr="00000000" w14:paraId="0000005A">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надав жодного листа від НУО міжнародних або національного рівня</w:t>
            </w:r>
          </w:p>
        </w:tc>
        <w:tc>
          <w:tcPr>
            <w:tcMar>
              <w:top w:w="0.0" w:type="dxa"/>
              <w:left w:w="45.0" w:type="dxa"/>
              <w:bottom w:w="0.0" w:type="dxa"/>
              <w:right w:w="45.0" w:type="dxa"/>
            </w:tcMar>
            <w:vAlign w:val="center"/>
          </w:tcPr>
          <w:p w:rsidR="00000000" w:rsidDel="00000000" w:rsidP="00000000" w:rsidRDefault="00000000" w:rsidRPr="00000000" w14:paraId="0000005B">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C">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проведення комплексних  навчальних програм для ТОП менеджменту в секторі НГО</w:t>
            </w:r>
          </w:p>
        </w:tc>
        <w:tc>
          <w:tcPr/>
          <w:p w:rsidR="00000000" w:rsidDel="00000000" w:rsidP="00000000" w:rsidRDefault="00000000" w:rsidRPr="00000000" w14:paraId="0000005E">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br w:type="textWrapping"/>
              <w:br w:type="textWrapping"/>
              <w:t xml:space="preserve">5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5F">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cantSplit w:val="0"/>
          <w:trHeight w:val="2256.97265625" w:hRule="atLeast"/>
          <w:tblHeader w:val="0"/>
        </w:trPr>
        <w:tc>
          <w:tcPr>
            <w:tcMar>
              <w:top w:w="0.0" w:type="dxa"/>
              <w:left w:w="45.0" w:type="dxa"/>
              <w:bottom w:w="0.0" w:type="dxa"/>
              <w:right w:w="45.0" w:type="dxa"/>
            </w:tcMar>
            <w:vAlign w:val="center"/>
          </w:tcPr>
          <w:p w:rsidR="00000000" w:rsidDel="00000000" w:rsidP="00000000" w:rsidRDefault="00000000" w:rsidRPr="00000000" w14:paraId="00000060">
            <w:pPr>
              <w:spacing w:after="200" w:lineRule="auto"/>
              <w:jc w:val="both"/>
              <w:rPr>
                <w:rFonts w:ascii="Times New Roman" w:cs="Times New Roman" w:eastAsia="Times New Roman" w:hAnsi="Times New Roman"/>
                <w:strike w:val="1"/>
                <w:sz w:val="20"/>
                <w:szCs w:val="20"/>
              </w:rPr>
            </w:pPr>
            <w:bookmarkStart w:colFirst="0" w:colLast="0" w:name="_heading=h.1fob9te" w:id="3"/>
            <w:bookmarkEnd w:id="3"/>
            <w:r w:rsidDel="00000000" w:rsidR="00000000" w:rsidRPr="00000000">
              <w:rPr>
                <w:rFonts w:ascii="Times New Roman" w:cs="Times New Roman" w:eastAsia="Times New Roman" w:hAnsi="Times New Roman"/>
                <w:strike w:val="1"/>
                <w:sz w:val="20"/>
                <w:szCs w:val="20"/>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1">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надати рекомендації для органів самоврядування щодо покращення політик в сфері безбар’єрності</w:t>
            </w:r>
          </w:p>
        </w:tc>
        <w:tc>
          <w:tcPr/>
          <w:p w:rsidR="00000000" w:rsidDel="00000000" w:rsidP="00000000" w:rsidRDefault="00000000" w:rsidRPr="00000000" w14:paraId="0000006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Надані рекомендації містять чітко розроблені методології з детальним описом кроків реалізації, конкретними пропозиціями для покращення політик, прикладами успішних практик, а також матеріалами та підходами, які включають аналітичні дані, прогнози та можливі результати.</w:t>
            </w:r>
          </w:p>
          <w:p w:rsidR="00000000" w:rsidDel="00000000" w:rsidP="00000000" w:rsidRDefault="00000000" w:rsidRPr="00000000" w14:paraId="0000006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Рекомендації надані, але методологія є загальною, не містить деталізації процесів і конкретних прикладів. Описані лише загальні пропозиції без додаткових матеріалів або обґрунтування.</w:t>
            </w:r>
          </w:p>
          <w:p w:rsidR="00000000" w:rsidDel="00000000" w:rsidP="00000000" w:rsidRDefault="00000000" w:rsidRPr="00000000" w14:paraId="0000006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чи рекомендацій не подано.</w:t>
            </w:r>
          </w:p>
        </w:tc>
        <w:tc>
          <w:tcPr>
            <w:tcMar>
              <w:top w:w="0.0" w:type="dxa"/>
              <w:left w:w="45.0" w:type="dxa"/>
              <w:bottom w:w="0.0" w:type="dxa"/>
              <w:right w:w="45.0" w:type="dxa"/>
            </w:tcMar>
            <w:vAlign w:val="center"/>
          </w:tcPr>
          <w:p w:rsidR="00000000" w:rsidDel="00000000" w:rsidP="00000000" w:rsidRDefault="00000000" w:rsidRPr="00000000" w14:paraId="00000065">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bl>
    <w:p w:rsidR="00000000" w:rsidDel="00000000" w:rsidP="00000000" w:rsidRDefault="00000000" w:rsidRPr="00000000" w14:paraId="00000066">
      <w:pPr>
        <w:spacing w:after="200" w:lineRule="auto"/>
        <w:ind w:left="0" w:firstLine="0"/>
        <w:jc w:val="both"/>
        <w:rPr>
          <w:sz w:val="20"/>
          <w:szCs w:val="20"/>
        </w:rPr>
      </w:pPr>
      <w:r w:rsidDel="00000000" w:rsidR="00000000" w:rsidRPr="00000000">
        <w:rPr>
          <w:rtl w:val="0"/>
        </w:rPr>
      </w:r>
    </w:p>
    <w:sectPr>
      <w:headerReference r:id="rId7" w:type="default"/>
      <w:pgSz w:h="16838" w:w="11906" w:orient="portrait"/>
      <w:pgMar w:bottom="709" w:top="425.1968503937008"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left w:w="115.0" w:type="dxa"/>
        <w:right w:w="115.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4"/>
    <w:tblPr>
      <w:tblStyleRowBandSize w:val="1"/>
      <w:tblStyleColBandSize w:val="1"/>
      <w:tblCellMar>
        <w:left w:w="115.0" w:type="dxa"/>
        <w:right w:w="115.0" w:type="dxa"/>
      </w:tblCellMar>
    </w:tblPr>
  </w:style>
  <w:style w:type="table" w:styleId="afc" w:customStyle="1">
    <w:basedOn w:val="TableNormal4"/>
    <w:tblPr>
      <w:tblStyleRowBandSize w:val="1"/>
      <w:tblStyleColBandSize w:val="1"/>
      <w:tblCellMar>
        <w:left w:w="115.0" w:type="dxa"/>
        <w:right w:w="115.0" w:type="dxa"/>
      </w:tblCellMar>
    </w:tblPr>
  </w:style>
  <w:style w:type="character" w:styleId="afd">
    <w:name w:val="Strong"/>
    <w:basedOn w:val="a0"/>
    <w:uiPriority w:val="22"/>
    <w:qFormat w:val="1"/>
    <w:rsid w:val="00DA664D"/>
    <w:rPr>
      <w:b w:val="1"/>
      <w:b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OyAY6u6cH4YoBu7VdwXaG8sOA==">CgMxLjAyDmguZ3RuOHZqdzhnMnByMgloLjMwajB6bGwyCGguZ2pkZ3hzMgloLjFmb2I5dGUyCWguMWZvYjl0ZTgAciExcGJIZzFXaXVZTHJyNklXM2tmQXhyemhuZG9MZ1NPZHQ=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2024-11-13T09:19:00Z</dcterms:created>
  <dc:creator>User</dc:creator>
</cp:coreProperties>
</file>