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left="2267" w:firstLine="705"/>
        <w:jc w:val="center"/>
        <w:rPr>
          <w:rFonts w:ascii="Cambria" w:cs="Cambria" w:eastAsia="Cambria" w:hAnsi="Cambria"/>
          <w:b w:val="1"/>
          <w:bCs w:val="1"/>
          <w:color w:val="0f549b"/>
          <w:sz w:val="20"/>
          <w:szCs w:val="20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f549b"/>
          <w:sz w:val="20"/>
          <w:szCs w:val="20"/>
          <w:highlight w:val="white"/>
          <w:rtl w:val="0"/>
        </w:rPr>
        <w:t xml:space="preserve">БЛАГОДІЙНА ОРГАНІЗАЦІЯ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-99057</wp:posOffset>
            </wp:positionH>
            <wp:positionV relativeFrom="paragraph">
              <wp:posOffset>0</wp:posOffset>
            </wp:positionV>
            <wp:extent cx="1447800" cy="897890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3525" l="-3751" r="-6294" t="-652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97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left="2267" w:firstLine="705"/>
        <w:jc w:val="center"/>
        <w:rPr>
          <w:rFonts w:ascii="Cambria" w:cs="Cambria" w:eastAsia="Cambria" w:hAnsi="Cambria"/>
          <w:b w:val="1"/>
          <w:bCs w:val="1"/>
          <w:color w:val="0f549b"/>
          <w:sz w:val="20"/>
          <w:szCs w:val="20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f549b"/>
          <w:sz w:val="20"/>
          <w:szCs w:val="20"/>
          <w:highlight w:val="white"/>
          <w:rtl w:val="0"/>
        </w:rPr>
        <w:t xml:space="preserve">«БЛАГОДІЙНИЙ ФОНД «ПРАВО НА ЗАХИСТ»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spacing w:after="0" w:line="240" w:lineRule="auto"/>
        <w:ind w:left="32" w:firstLine="0"/>
        <w:jc w:val="center"/>
        <w:rPr>
          <w:rFonts w:ascii="Cambria" w:cs="Cambria" w:eastAsia="Cambria" w:hAnsi="Cambria"/>
          <w:color w:val="0f549b"/>
          <w:sz w:val="20"/>
          <w:szCs w:val="20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f549b"/>
          <w:sz w:val="20"/>
          <w:szCs w:val="20"/>
          <w:highlight w:val="white"/>
          <w:rtl w:val="0"/>
        </w:rPr>
        <w:t xml:space="preserve">Юр. адреса: вул. Глибочицька, буд. 17, корпус 1А, офіс 417, м. Київ, 04052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spacing w:after="0" w:line="240" w:lineRule="auto"/>
        <w:ind w:left="32" w:firstLine="0"/>
        <w:jc w:val="center"/>
        <w:rPr>
          <w:rFonts w:ascii="Cambria" w:cs="Cambria" w:eastAsia="Cambria" w:hAnsi="Cambria"/>
          <w:color w:val="0f549b"/>
          <w:sz w:val="20"/>
          <w:szCs w:val="20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f549b"/>
          <w:sz w:val="20"/>
          <w:szCs w:val="20"/>
          <w:highlight w:val="white"/>
          <w:rtl w:val="0"/>
        </w:rPr>
        <w:t xml:space="preserve">Для листування: вул. Григорія Сковороди, 21/16, Київ,  04070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spacing w:after="0" w:line="240" w:lineRule="auto"/>
        <w:ind w:left="32" w:firstLine="0"/>
        <w:jc w:val="center"/>
        <w:rPr>
          <w:rFonts w:ascii="Cambria" w:cs="Cambria" w:eastAsia="Cambria" w:hAnsi="Cambria"/>
          <w:color w:val="0f549b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f549b"/>
          <w:sz w:val="20"/>
          <w:szCs w:val="20"/>
          <w:rtl w:val="0"/>
        </w:rPr>
        <w:t xml:space="preserve">t:+38 044 337 17 62,  e-mail:</w:t>
      </w:r>
      <w:r w:rsidDel="00000000" w:rsidR="00000000" w:rsidRPr="00000000">
        <w:rPr>
          <w:rFonts w:ascii="Cambria" w:cs="Cambria" w:eastAsia="Cambria" w:hAnsi="Cambria"/>
          <w:color w:val="0f549b"/>
          <w:sz w:val="20"/>
          <w:szCs w:val="20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Cambria" w:cs="Cambria" w:eastAsia="Cambria" w:hAnsi="Cambria"/>
            <w:color w:val="0f549b"/>
            <w:sz w:val="20"/>
            <w:szCs w:val="20"/>
            <w:rtl w:val="0"/>
          </w:rPr>
          <w:t xml:space="preserve">r2p@r2p.org.ua</w:t>
        </w:r>
      </w:hyperlink>
      <w:r w:rsidDel="00000000" w:rsidR="00000000" w:rsidRPr="00000000">
        <w:rPr>
          <w:rFonts w:ascii="Cambria" w:cs="Cambria" w:eastAsia="Cambria" w:hAnsi="Cambria"/>
          <w:color w:val="0f549b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spacing w:after="0" w:line="240" w:lineRule="auto"/>
        <w:ind w:left="32" w:firstLine="0"/>
        <w:jc w:val="center"/>
        <w:rPr>
          <w:rFonts w:ascii="Cambria" w:cs="Cambria" w:eastAsia="Cambria" w:hAnsi="Cambria"/>
          <w:color w:val="0f549b"/>
          <w:sz w:val="20"/>
          <w:szCs w:val="20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f549b"/>
          <w:sz w:val="20"/>
          <w:szCs w:val="20"/>
          <w:rtl w:val="0"/>
        </w:rPr>
        <w:tab/>
        <w:t xml:space="preserve">                        сайт: </w:t>
      </w:r>
      <w:hyperlink r:id="rId9">
        <w:r w:rsidDel="00000000" w:rsidR="00000000" w:rsidRPr="00000000">
          <w:rPr>
            <w:rFonts w:ascii="Cambria" w:cs="Cambria" w:eastAsia="Cambria" w:hAnsi="Cambria"/>
            <w:color w:val="0000ff"/>
            <w:sz w:val="20"/>
            <w:szCs w:val="20"/>
            <w:u w:val="single"/>
            <w:rtl w:val="0"/>
          </w:rPr>
          <w:t xml:space="preserve">https://r2p.org.ua/</w:t>
        </w:r>
      </w:hyperlink>
      <w:r w:rsidDel="00000000" w:rsidR="00000000" w:rsidRPr="00000000">
        <w:rPr>
          <w:rFonts w:ascii="Cambria" w:cs="Cambria" w:eastAsia="Cambria" w:hAnsi="Cambria"/>
          <w:color w:val="0f549b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f549b"/>
          <w:sz w:val="20"/>
          <w:szCs w:val="20"/>
          <w:highlight w:val="white"/>
          <w:rtl w:val="0"/>
        </w:rPr>
        <w:t xml:space="preserve">код згідно з ЄДРПОУ 38621206</w:t>
      </w:r>
    </w:p>
    <w:p w:rsidR="00000000" w:rsidDel="00000000" w:rsidP="00000000" w:rsidRDefault="00000000" w:rsidRPr="00000000" w14:paraId="00000007">
      <w:pPr>
        <w:shd w:fill="ffffff" w:val="clear"/>
        <w:ind w:firstLine="709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366091"/>
          <w:sz w:val="20"/>
          <w:szCs w:val="20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-648332</wp:posOffset>
            </wp:positionH>
            <wp:positionV relativeFrom="paragraph">
              <wp:posOffset>173990</wp:posOffset>
            </wp:positionV>
            <wp:extent cx="7730098" cy="223638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0098" cy="223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Cambria" w:cs="Cambria" w:eastAsia="Cambria" w:hAnsi="Cambri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  <w:rtl w:val="0"/>
        </w:rPr>
        <w:t xml:space="preserve">ЗАПРОШЕННЯ ДО УЧАСТІ У КОНКУРСІ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Q1-T38 RFP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  <w:rtl w:val="0"/>
        </w:rPr>
        <w:t xml:space="preserve">з вибору виконавця для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333333"/>
          <w:sz w:val="20"/>
          <w:szCs w:val="20"/>
          <w:highlight w:val="white"/>
          <w:rtl w:val="0"/>
        </w:rPr>
        <w:t xml:space="preserve"> Аудиторської перевірки діяльності Благодійної організації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  <w:rtl w:val="0"/>
        </w:rPr>
        <w:t xml:space="preserve">«Благодійний  фонд «Право на захист»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  <w:rtl w:val="0"/>
        </w:rPr>
        <w:t xml:space="preserve">ДАТА І ЧАС ЗАКІНЧЕННЯ ПРИЙНЯТТЯ ПРОПОЗИЦІЙ: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color w:val="0053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sz w:val="20"/>
          <w:szCs w:val="20"/>
          <w:u w:val="single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sz w:val="20"/>
          <w:szCs w:val="20"/>
          <w:u w:val="single"/>
          <w:rtl w:val="0"/>
        </w:rPr>
        <w:t xml:space="preserve"> лютого 2026 р. – 11:59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 за східноєвропейським часом на ел. адресу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cc"/>
            <w:sz w:val="20"/>
            <w:szCs w:val="20"/>
            <w:u w:val="single"/>
            <w:rtl w:val="0"/>
          </w:rPr>
          <w:t xml:space="preserve">tender@r2p.org.ua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284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numPr>
          <w:ilvl w:val="0"/>
          <w:numId w:val="5"/>
        </w:numPr>
        <w:tabs>
          <w:tab w:val="left" w:leader="none" w:pos="993"/>
        </w:tabs>
        <w:ind w:left="0" w:firstLine="567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ВСТУП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bookmarkStart w:colFirst="0" w:colLast="0" w:name="_heading=h.dam3ubja108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Благодійна організація «Благодійний фонд «Право на захист» (далі – Організація)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бажає залучити аудиторську компанію з метою проведення комплексного аудиту Організації за повний фінансовий 2025 рік. </w:t>
      </w:r>
    </w:p>
    <w:p w:rsidR="00000000" w:rsidDel="00000000" w:rsidP="00000000" w:rsidRDefault="00000000" w:rsidRPr="00000000" w14:paraId="00000013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Метод прове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дення аудиту - віддалений режим з можливістю відвідування офісу в окремі дні (за попереднім погодженням сторін).</w:t>
      </w:r>
    </w:p>
    <w:p w:rsidR="00000000" w:rsidDel="00000000" w:rsidP="00000000" w:rsidRDefault="00000000" w:rsidRPr="00000000" w14:paraId="00000014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Період проведення аудиту: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01 квітня 2026 р.– 21 квітня 2026  р.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Просимо враховувати, що остаточний звіт до Організації подається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30 квітня 2026 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6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numPr>
          <w:ilvl w:val="0"/>
          <w:numId w:val="5"/>
        </w:numPr>
        <w:tabs>
          <w:tab w:val="left" w:leader="none" w:pos="993"/>
        </w:tabs>
        <w:ind w:left="0" w:firstLine="567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ПЕРЕДУМОВИ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Витрати, понесені Організацією на основі касового методу 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 місяців 2025 року, орієнтовно становлять 1301,2 млн. грн. Загальні активи Організації на 31.12.2025 р. орієнтовно становлять 975,6 млн. грн.(в т.ч.: необоротні активи – 57,7 млн. грн; грошові кошти 716,8 млн. грн; запаси – 30,9 млн. грн.; розрахунки – 168,.6 млн. грн, інші активи – 1,6 млн. грн.)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 попередні роки фінансові звіти загального призначення Організації перевірялися незалежними аудиторами.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Аудиту піддавалися звіти спеціального призначення відповідно до керівних принципів донорів.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Організація є неприбутковою, не є платником ПДВ і податку на прибуток.</w:t>
      </w:r>
    </w:p>
    <w:p w:rsidR="00000000" w:rsidDel="00000000" w:rsidP="00000000" w:rsidRDefault="00000000" w:rsidRPr="00000000" w14:paraId="0000001C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5"/>
        </w:numPr>
        <w:tabs>
          <w:tab w:val="left" w:leader="none" w:pos="520"/>
          <w:tab w:val="left" w:leader="none" w:pos="993"/>
        </w:tabs>
        <w:ind w:left="0" w:firstLine="567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СТАНДАРТИ ЗВІТУВАННЯ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Організація готує загальну фінансову звітність відповідно до національних положень (стандартів) бухгалтерського обліку.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Звіти донорам Організація готує відповідно до керівних принципів Донора.</w:t>
      </w:r>
    </w:p>
    <w:p w:rsidR="00000000" w:rsidDel="00000000" w:rsidP="00000000" w:rsidRDefault="00000000" w:rsidRPr="00000000" w14:paraId="00000020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5"/>
        </w:numPr>
        <w:tabs>
          <w:tab w:val="left" w:leader="none" w:pos="993"/>
        </w:tabs>
        <w:ind w:left="0" w:firstLine="567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ЦІЛІ ТА ОБСЯГ РОБОТИ ДЛЯ АУДИТУ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Аудит здійснюється відповідно до Міжнародних стандартів аудиту (ISA), виданих IAASB (Радою з міжнародних стандартів аудиту та гарантій). Аудит здійснюється зовнішнім, незалежним та кваліфікованим аудитором (призначений державний бухгалтер / уповноважений державний бухгалтер тощо).</w:t>
      </w:r>
    </w:p>
    <w:p w:rsidR="00000000" w:rsidDel="00000000" w:rsidP="00000000" w:rsidRDefault="00000000" w:rsidRPr="00000000" w14:paraId="00000023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tabs>
          <w:tab w:val="left" w:leader="none" w:pos="993"/>
        </w:tabs>
        <w:ind w:left="0" w:firstLine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Метою є проведення Аудиту фінансової звітності загального призначення: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567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Висловити незалежну аудиторську думку щодо того, чи фінансова звітність загального призначення (Баланс, Звіт про фінансові результати) у Організації представлена достатньо, у всіх суттєвих аспектах фінансового стану Організації станом на 31 грудня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року та зміни в активах за рік, що закінчився, результати діяльності за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рік, що закінчився, відповідають Національним правилам бухгалтерського обліку (стандартів).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567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Оцінити ризик контролю та виявити суттєві (змістовно) недоліки, включаючи істотні (фінансово) недоліки, в межах процедур аудиту, необхідних для висловлення думки; узагальнити висновки щодо питань внутрішнього контролю Організації.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567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Оцінити дотримання Організацією національного податкового законодавства та нормативно-правових актів.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567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Визначити, чи вживала Організація належні коригувальні заходи щодо попередніх аудиторських рекомендацій.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567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Аудитори повинні переглянути та коротко описати в підсумковому розділі аудиторського звіту стан дій, вжитих по всіх висновках та рекомендаціях, які були надані в попередніх аудитах Організації.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3"/>
        </w:numPr>
        <w:tabs>
          <w:tab w:val="left" w:leader="none" w:pos="993"/>
        </w:tabs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ЗВІТНІСТЬ АУДИТОРА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Звітність повинна містити деталі щодо аудиторської методології та обсягу аудиту, які були використані під час аудиту.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Звітність повинна містити гарантію, що аудит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проводиться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відповідно до міжнародних стандартів аудиту IAASB та кваліфікованим аудитором.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Звіт незалежного аудитора повинен чітко визначати, згідно якого стандарту проводи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ся аудит (наприклад, МСА 800/805).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Фінансовий звіт, який був предметом аудиту, додається до аудиторської звітності.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Звітність повинна містити підпис відповідального аудитора, титульну сторінку та назву аудиторської компанії.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Аудиторські звіти та управлінський лист складаються українською та англійською мовами, кожна в 3 друкованих виданнях та 1 електронному (pdf форматі).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Очікується, що аудитор подає до Організації: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tabs>
          <w:tab w:val="left" w:leader="none" w:pos="1129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Звіт незалежного аудитора стосовно фінансової звітності загального призначення за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повний 2025 фінансовий рік.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tabs>
          <w:tab w:val="left" w:leader="none" w:pos="1129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Управлінський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1129"/>
        </w:tabs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 поєднанні з аудитом зовнішній аудитор повинен оцінити операційні та внутрішні процедури контролю, які можна було б покращити. Виявлені слабкі сторони внутрішнього контролю (висновки), повинні бути повідомлені зовнішнім аудитором у формальному управлінському листі.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Перелік висновків не обмежується обсягом робіт, та аудитор може вільно розглядати додаткові запитання .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Лист керівництву також включає рекомендації зовнішнього аудитора для вирішення будь-яких виявлених недоліків, а також питання невідповідності національним податковим законам і нормативним актам та зауваження керівництву Організації. Рекомендації мають бути представлені в пріоритетному порядку.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Аудитори повинні визначити, чи вживала Організація адекватні коригувальні дії щодо попередніх рекомендацій з аудиту, переглянути та коротко описати стан вжитих заходів.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Проект листа керівництву надсилається від зовнішніх аудиторів до Президента з копією Фінансовому директору Організації для коментарів щодо висновків та рекомендованих подальших дій. Зовнішній аудитор повинен потім підготувати остаточний управлінський лист, коротко вказавши коментарі керівництва. Остаточний управлінський лист надсилається Президенту Організації.</w:t>
      </w:r>
    </w:p>
    <w:p w:rsidR="00000000" w:rsidDel="00000000" w:rsidP="00000000" w:rsidRDefault="00000000" w:rsidRPr="00000000" w14:paraId="0000003C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3"/>
        </w:numPr>
        <w:tabs>
          <w:tab w:val="left" w:leader="none" w:pos="993"/>
        </w:tabs>
        <w:ind w:left="0" w:firstLine="567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УМОВИ ВИКОНАННЯ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Кінцеві терміни домовленостей і проведення аудиту :</w:t>
      </w:r>
    </w:p>
    <w:tbl>
      <w:tblPr>
        <w:tblStyle w:val="Table1"/>
        <w:tblW w:w="9765.0" w:type="dxa"/>
        <w:jc w:val="left"/>
        <w:tblInd w:w="4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35"/>
        <w:gridCol w:w="3430"/>
        <w:tblGridChange w:id="0">
          <w:tblGrid>
            <w:gridCol w:w="6335"/>
            <w:gridCol w:w="343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3"/>
                <w:tab w:val="left" w:leader="none" w:pos="993"/>
              </w:tabs>
              <w:ind w:left="0" w:firstLine="129"/>
              <w:jc w:val="both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Ведення переговорів та підписання контракту: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1"/>
                <w:numId w:val="3"/>
              </w:numPr>
              <w:tabs>
                <w:tab w:val="left" w:leader="none" w:pos="205"/>
                <w:tab w:val="left" w:leader="none" w:pos="993"/>
              </w:tabs>
              <w:ind w:left="464" w:hanging="360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03.03.2026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3"/>
                <w:tab w:val="left" w:leader="none" w:pos="993"/>
              </w:tabs>
              <w:ind w:left="0" w:firstLine="129"/>
              <w:jc w:val="both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Польові роботи з аудиту повинні бути завершені: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1"/>
                <w:numId w:val="3"/>
              </w:numPr>
              <w:tabs>
                <w:tab w:val="left" w:leader="none" w:pos="205"/>
                <w:tab w:val="left" w:leader="none" w:pos="993"/>
              </w:tabs>
              <w:ind w:left="464" w:hanging="360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21.04.2026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3"/>
                <w:tab w:val="left" w:leader="none" w:pos="993"/>
              </w:tabs>
              <w:ind w:left="0" w:firstLine="129"/>
              <w:jc w:val="both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Проект аудиторського звіту та управлінського листа: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1"/>
                <w:numId w:val="3"/>
              </w:numPr>
              <w:tabs>
                <w:tab w:val="left" w:leader="none" w:pos="205"/>
                <w:tab w:val="left" w:leader="none" w:pos="993"/>
              </w:tabs>
              <w:ind w:left="464" w:hanging="360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24.04.2026 р.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3"/>
                <w:tab w:val="left" w:leader="none" w:pos="993"/>
              </w:tabs>
              <w:ind w:left="0" w:firstLine="129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Остаточний звіт з аудиту та управлінський лист: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1"/>
                <w:numId w:val="3"/>
              </w:numPr>
              <w:tabs>
                <w:tab w:val="left" w:leader="none" w:pos="205"/>
                <w:tab w:val="left" w:leader="none" w:pos="993"/>
              </w:tabs>
              <w:ind w:left="464" w:hanging="360"/>
              <w:rPr>
                <w:sz w:val="23"/>
                <w:szCs w:val="23"/>
              </w:rPr>
            </w:pPr>
            <w:bookmarkStart w:colFirst="0" w:colLast="0" w:name="_heading=h.3vdmnjfe81b6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30.04.2026 р.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Звіт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аудитора надається безпосередньо до  Організації.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Оплата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буде здійснюватися за безготівковим розрахунком повною післяплатою або частковою попередньою оплатою не більше 50 %</w:t>
      </w:r>
    </w:p>
    <w:p w:rsidR="00000000" w:rsidDel="00000000" w:rsidP="00000000" w:rsidRDefault="00000000" w:rsidRPr="00000000" w14:paraId="00000049">
      <w:pPr>
        <w:pStyle w:val="Heading1"/>
        <w:tabs>
          <w:tab w:val="left" w:leader="none" w:pos="993"/>
        </w:tabs>
        <w:ind w:left="0" w:firstLine="567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numPr>
          <w:ilvl w:val="0"/>
          <w:numId w:val="2"/>
        </w:numPr>
        <w:tabs>
          <w:tab w:val="left" w:leader="none" w:pos="993"/>
        </w:tabs>
        <w:ind w:left="0" w:firstLine="567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ДОСТУП ДО ЗАСОБІВ ТА ДОКУМЕНТІВ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Організація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зобов’язується надати аудитору доступ до усієї інформації та документів, які стосуються діяльності та фінансової звітності Організації, та надати всі необхідні роз’яснення, у тому числі у письмовій формі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щоб аудитор зміг отримати повну інформацію щодо 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інансового стану Організації.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numPr>
          <w:ilvl w:val="0"/>
          <w:numId w:val="2"/>
        </w:numPr>
        <w:tabs>
          <w:tab w:val="left" w:leader="none" w:pos="1134"/>
        </w:tabs>
        <w:ind w:left="0" w:firstLine="567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ВИБІР АУДИТОРА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Аудитор повинен бути повністю неупередженим та незалежним від усіх аспектів управління або фінансових інтересів в Організації. Протягом періоду, на який поширюється аудит, а також під час проведення аудиту, аудитор не повинен працювати, виконувати функції директора або мати будь-які фінансові, сімейні або тісні ділові відносини або будь-яке інше відношення чи спільний інтерес з будь-яким іншим працівниками в управлінні Організацією. У цьому аспекті Організація просить аудитора розкрити будь-які відносини, які могли б поставити під загрозу його / її незалежність.</w:t>
      </w:r>
    </w:p>
    <w:p w:rsidR="00000000" w:rsidDel="00000000" w:rsidP="00000000" w:rsidRDefault="00000000" w:rsidRPr="00000000" w14:paraId="0000004F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tabs>
          <w:tab w:val="left" w:leader="none" w:pos="827"/>
          <w:tab w:val="left" w:leader="none" w:pos="993"/>
        </w:tabs>
        <w:ind w:left="56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IX.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ВИМОГИ ДО ПОДАННЯ ТЕНДЕРНИХ ПРОПОЗИЦІЙ: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u w:val="single"/>
          <w:rtl w:val="0"/>
        </w:rPr>
        <w:t xml:space="preserve">Для участі в тендері аудиторська компанія подає тендерну пропозицію у вигляді двох електронних листів електронною поштою на адресу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highlight w:val="yellow"/>
            <w:u w:val="single"/>
            <w:rtl w:val="0"/>
          </w:rPr>
          <w:t xml:space="preserve">                       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cc"/>
          <w:u w:val="single"/>
          <w:rtl w:val="0"/>
        </w:rPr>
        <w:t xml:space="preserve">1 лист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rtl w:val="0"/>
        </w:rPr>
        <w:t xml:space="preserve"> з назвою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rtl w:val="0"/>
        </w:rPr>
        <w:t xml:space="preserve">«Технічна пропозиція до тендеру № Q1-T38 RFP 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rtl w:val="0"/>
        </w:rPr>
        <w:t xml:space="preserve">має містити заповнені і відскановані 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u w:val="single"/>
          <w:rtl w:val="0"/>
        </w:rPr>
        <w:t xml:space="preserve">додатки А і С з підписами і печатками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rtl w:val="0"/>
        </w:rPr>
        <w:t xml:space="preserve"> та вказані 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u w:val="single"/>
          <w:rtl w:val="0"/>
        </w:rPr>
        <w:t xml:space="preserve">документи.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  <w:tab w:val="left" w:leader="none" w:pos="2273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c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cc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cc"/>
          <w:u w:val="single"/>
          <w:rtl w:val="0"/>
        </w:rPr>
        <w:t xml:space="preserve">2 лист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rtl w:val="0"/>
        </w:rPr>
        <w:t xml:space="preserve"> з назвою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rtl w:val="0"/>
        </w:rPr>
        <w:t xml:space="preserve">«Фінансова пропозиція до тендеру № Q1-T38 RFP  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rtl w:val="0"/>
        </w:rPr>
        <w:t xml:space="preserve">має містити заповнений і відсканований 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u w:val="single"/>
          <w:rtl w:val="0"/>
        </w:rPr>
        <w:t xml:space="preserve">додаток В з підписом і печаткою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rtl w:val="0"/>
        </w:rPr>
        <w:t xml:space="preserve">, а також вашу 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u w:val="single"/>
          <w:rtl w:val="0"/>
        </w:rPr>
        <w:t xml:space="preserve">комерційну пропозицію в гривнях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rtl w:val="0"/>
        </w:rPr>
        <w:t xml:space="preserve"> (вартість послуг погодинно і 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u w:val="single"/>
          <w:rtl w:val="0"/>
        </w:rPr>
        <w:t xml:space="preserve">загальну повну вартість</w:t>
      </w:r>
      <w:r w:rsidDel="00000000" w:rsidR="00000000" w:rsidRPr="00000000">
        <w:rPr>
          <w:rFonts w:ascii="Times New Roman" w:cs="Times New Roman" w:eastAsia="Times New Roman" w:hAnsi="Times New Roman"/>
          <w:color w:val="0000cc"/>
          <w:rtl w:val="0"/>
        </w:rPr>
        <w:t xml:space="preserve">) з контактами відповідальної особи, яка уповноважена відповідати на запитання щодо тендерної пропозиції.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Технічна пропозиція повинна містити такі документи: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Заповнений і відсканований додаток А з підписом і печаткою;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Заповнений і відсканований додаток С з підписом і печаткою;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56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Скановану копію підписаного листа зацікавленості із зазначенням назви аудиторської компанії, адреси, контактної інформації (телефон, електронна пошта, адреса веб-сайту), повна назва контактної особи. Лист повинен містити гарантію незалежності, розуміння обсягу робіт, що підлягають виконанню, цілей аудиту, методології аудиту, загальної спроможності виконувати аудиторські завдання, включаючи наявність аудиторських кадрів та керівників з належними знаннями та кваліфікацією, план аудиту з комерційною пропозицією у гривнях (вказується загальна вартість послуг та тариф за годину), перелік звітів, які мають бути надані в результаті аудиту;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851"/>
          <w:tab w:val="left" w:leader="none" w:pos="1560"/>
          <w:tab w:val="left" w:leader="none" w:pos="227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Скановану копію витягу з Державного реєстру юридичних осіб;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Довідка або Витяг з Реєст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ру аудиторів та суб’єктів аудиторської діяльності, видана Органом суспільного нагляду за аудиторською діяльністю (ОСНАД)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НАКАЗ, виданий ОСНАД Про проходження перевірки з контролю якості аудиторських послуг (датований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не раніше лютого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р.);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560"/>
          <w:tab w:val="left" w:leader="none" w:pos="227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Інформацію та скановані документи, що підтверджують досвід роботи аудиторської компанії в проведенні аудиту неприбуткових організацій. Надаються рекомендації від 3 клієнтів, видані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не раніше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року;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851"/>
          <w:tab w:val="left" w:leader="none" w:pos="1560"/>
          <w:tab w:val="left" w:leader="none" w:pos="227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Дані про загальну кількість кваліфікованих працівників, старших фахівців та керівників для виконання поставлених завдань, копії сертифікатів аудитора, а також резюме команди з виконання завдань. Скановані копії сертифікатів професійної освіти (якщо такі є);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  <w:tab w:val="left" w:leader="none" w:pos="2273"/>
        </w:tabs>
        <w:spacing w:after="0" w:line="240" w:lineRule="auto"/>
        <w:ind w:left="14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Фінансова пропозиція повинна містити такі документи: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 Заповнений і відсканований додаток В з підписом і печаткою;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  <w:tab w:val="left" w:leader="none" w:pos="2273"/>
        </w:tabs>
        <w:spacing w:after="0" w:line="240" w:lineRule="auto"/>
        <w:ind w:left="14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2. Комерційну пропозицію в гривнях (вартість послуг погодинно і загальну повну вартість) з контактами відповідальної особи, яка уповноважена відповідати на запитання щодо тендерної пропозиції.</w:t>
      </w:r>
    </w:p>
    <w:p w:rsidR="00000000" w:rsidDel="00000000" w:rsidP="00000000" w:rsidRDefault="00000000" w:rsidRPr="00000000" w14:paraId="00000062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tabs>
          <w:tab w:val="left" w:leader="none" w:pos="993"/>
          <w:tab w:val="left" w:leader="none" w:pos="1020"/>
        </w:tabs>
        <w:ind w:left="567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Х. КЛЮЧОВІ КРИТЕРІЇ ОЦІНКИ:</w:t>
      </w:r>
    </w:p>
    <w:p w:rsidR="00000000" w:rsidDel="00000000" w:rsidP="00000000" w:rsidRDefault="00000000" w:rsidRPr="00000000" w14:paraId="00000064">
      <w:pPr>
        <w:pStyle w:val="Heading3"/>
        <w:tabs>
          <w:tab w:val="left" w:leader="none" w:pos="993"/>
        </w:tabs>
        <w:ind w:left="0" w:firstLine="567"/>
        <w:jc w:val="both"/>
        <w:rPr>
          <w:rFonts w:ascii="Times New Roman" w:cs="Times New Roman" w:eastAsia="Times New Roman" w:hAnsi="Times New Roman"/>
          <w:b w:val="0"/>
          <w:bCs w:val="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2"/>
          <w:szCs w:val="22"/>
          <w:rtl w:val="0"/>
        </w:rPr>
        <w:t xml:space="preserve">Тендерні пропозиції, які не відповідають вимогам до тендерних пропозицій (IX. Вимоги до подання тендерних пропозицій), не підлягають подальшій оцінці. </w:t>
      </w:r>
    </w:p>
    <w:p w:rsidR="00000000" w:rsidDel="00000000" w:rsidP="00000000" w:rsidRDefault="00000000" w:rsidRPr="00000000" w14:paraId="00000065">
      <w:pPr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Пропозиції, які відповідають вимогам тендерних пропозицій, будуть оцінені за такими критеріями:</w:t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10065.0" w:type="dxa"/>
        <w:jc w:val="left"/>
        <w:tblLayout w:type="fixed"/>
        <w:tblLook w:val="0000"/>
      </w:tblPr>
      <w:tblGrid>
        <w:gridCol w:w="390"/>
        <w:gridCol w:w="8175"/>
        <w:gridCol w:w="1500"/>
        <w:tblGridChange w:id="0">
          <w:tblGrid>
            <w:gridCol w:w="390"/>
            <w:gridCol w:w="8175"/>
            <w:gridCol w:w="1500"/>
          </w:tblGrid>
        </w:tblGridChange>
      </w:tblGrid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8">
            <w:pPr>
              <w:ind w:left="-156" w:firstLine="12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Критерії оцінки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Максимальний бал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B">
            <w:pPr>
              <w:ind w:left="-156" w:firstLine="127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Вартість послуги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D">
            <w:pPr>
              <w:ind w:firstLine="28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E">
            <w:pPr>
              <w:ind w:left="-156" w:firstLine="127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Досвід аудиту: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0">
            <w:pPr>
              <w:ind w:firstLine="28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firstLine="28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firstLine="28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firstLine="28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Загальний досвід проведення аудитів: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 10 років = 10 балів,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Від 10 до 15 років = 15 балів,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Більше 15 років = 20 балів.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Досвід проведення аудиту неприбуткових організацій:</w:t>
              <w:br w:type="textWrapping"/>
              <w:t xml:space="preserve">До 5 років = 7 балів,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 5 до 7 років = 10 балів,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Більше 7 років = 15 балів.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0">
            <w:pPr>
              <w:ind w:left="-156" w:firstLine="127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Склад та компетентність запропонованої команди: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rtl w:val="0"/>
              </w:rPr>
              <w:t xml:space="preserve">Менше 2 сертифікованих аудиторів = 15 балів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rtl w:val="0"/>
              </w:rPr>
              <w:t xml:space="preserve">Від 2-5 сертифікованих аудиторів = 25 балів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rtl w:val="0"/>
              </w:rPr>
              <w:t xml:space="preserve">Більше 5 сертифікованих аудиторів = 35 балів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5">
            <w:pPr>
              <w:ind w:firstLine="28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6">
            <w:pPr>
              <w:ind w:left="-156" w:firstLine="284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7">
            <w:pPr>
              <w:ind w:firstLine="28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Загальний рахунок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8">
            <w:pPr>
              <w:ind w:firstLine="284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color w:val="0000cc"/>
          <w:sz w:val="26"/>
          <w:szCs w:val="26"/>
        </w:rPr>
      </w:pPr>
      <w:bookmarkStart w:colFirst="0" w:colLast="0" w:name="_heading=h.50mi7qmzc9on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sz w:val="26"/>
          <w:szCs w:val="26"/>
          <w:rtl w:val="0"/>
        </w:rPr>
        <w:t xml:space="preserve">Просимо направити вашу пропозицію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sz w:val="26"/>
          <w:szCs w:val="26"/>
          <w:u w:val="single"/>
          <w:rtl w:val="0"/>
        </w:rPr>
        <w:t xml:space="preserve"> 17 лютого 2026 року, 11:59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sz w:val="26"/>
          <w:szCs w:val="26"/>
          <w:rtl w:val="0"/>
        </w:rPr>
        <w:t xml:space="preserve"> за Київським часом у вигляді двох листів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u w:val="single"/>
          <w:rtl w:val="0"/>
        </w:rPr>
        <w:t xml:space="preserve">Технічна пропозиція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rtl w:val="0"/>
        </w:rPr>
        <w:t xml:space="preserve"> до тендеру № Q1-T38 RFP  (додатки А, С, документи) 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u w:val="single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rtl w:val="0"/>
        </w:rPr>
        <w:t xml:space="preserve"> до тендеру № Q1-T38 RFP  (додаток В і комерційна пропозиція)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cc"/>
          <w:sz w:val="26"/>
          <w:szCs w:val="26"/>
          <w:rtl w:val="0"/>
        </w:rPr>
        <w:t xml:space="preserve">) на адресу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26"/>
          <w:szCs w:val="26"/>
          <w:rtl w:val="0"/>
        </w:rPr>
        <w:t xml:space="preserve">tender@r2p.org.ua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Заявки, подані пізніше вказаного терміну або не на вказану адресу, розглядатися не будуть.</w:t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8l36g6ho0ba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Усі організації, які надали тендерні пропозиції у зазначені терміни, будуть повідомлені про прийняте рішення протягом десяти календарних днів від дати завершення збору пропозицій. </w:t>
      </w:r>
    </w:p>
    <w:p w:rsidR="00000000" w:rsidDel="00000000" w:rsidP="00000000" w:rsidRDefault="00000000" w:rsidRPr="00000000" w14:paraId="0000008E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разі виникнення запитань Ви можете звертатися до Ольги Висневської за електронною поштою audit@r2p.org.ua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highlight w:val="yellow"/>
        </w:rPr>
      </w:pPr>
      <w:bookmarkStart w:colFirst="0" w:colLast="0" w:name="_heading=h.lopqre1xkoe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Дякуємо за співробітництво.</w:t>
      </w:r>
    </w:p>
    <w:p w:rsidR="00000000" w:rsidDel="00000000" w:rsidP="00000000" w:rsidRDefault="00000000" w:rsidRPr="00000000" w14:paraId="00000093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повагою,</w:t>
        <w:tab/>
        <w:tab/>
        <w:tab/>
        <w:tab/>
        <w:tab/>
        <w:tab/>
        <w:tab/>
        <w:tab/>
        <w:tab/>
        <w:t xml:space="preserve">Президент Олександр Галкін</w:t>
      </w:r>
    </w:p>
    <w:p w:rsidR="00000000" w:rsidDel="00000000" w:rsidP="00000000" w:rsidRDefault="00000000" w:rsidRPr="00000000" w14:paraId="00000096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Тендерна документація затверджена: ____________________ Експерт із закупівельної діяльності Прибатень Р.А.</w:t>
      </w:r>
    </w:p>
    <w:sectPr>
      <w:footerReference r:id="rId13" w:type="default"/>
      <w:pgSz w:h="16838" w:w="11906" w:orient="portrait"/>
      <w:pgMar w:bottom="794" w:top="680" w:left="1021" w:right="794" w:header="142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  <w:tab w:val="left" w:leader="none" w:pos="1397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-382899</wp:posOffset>
          </wp:positionH>
          <wp:positionV relativeFrom="paragraph">
            <wp:posOffset>35560</wp:posOffset>
          </wp:positionV>
          <wp:extent cx="7572375" cy="228600"/>
          <wp:effectExtent b="0" l="0" r="0" t="0"/>
          <wp:wrapNone/>
          <wp:docPr descr="C:\Users\WK\Desktop\R2B -brandbook-ukr\RIGHT-Protection\RIGHT-Protection\blank\line.png" id="4" name="image3.png"/>
          <a:graphic>
            <a:graphicData uri="http://schemas.openxmlformats.org/drawingml/2006/picture">
              <pic:pic>
                <pic:nvPicPr>
                  <pic:cNvPr descr="C:\Users\WK\Desktop\R2B -brandbook-ukr\RIGHT-Protection\RIGHT-Protection\blank\line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228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cs="Courier New" w:eastAsia="Courier New" w:hAnsi="Courier New"/>
        <w:sz w:val="18"/>
        <w:szCs w:val="18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7"/>
      <w:numFmt w:val="upperRoman"/>
      <w:lvlText w:val="%1."/>
      <w:lvlJc w:val="left"/>
      <w:pPr>
        <w:ind w:left="2677" w:hanging="588"/>
      </w:pPr>
      <w:rPr>
        <w:rFonts w:ascii="Georgia" w:cs="Georgia" w:eastAsia="Georgia" w:hAnsi="Georgia"/>
        <w:b w:val="1"/>
        <w:bCs w:val="1"/>
        <w:sz w:val="21"/>
        <w:szCs w:val="21"/>
      </w:rPr>
    </w:lvl>
    <w:lvl w:ilvl="1">
      <w:start w:val="1"/>
      <w:numFmt w:val="decimal"/>
      <w:lvlText w:val="%2."/>
      <w:lvlJc w:val="left"/>
      <w:pPr>
        <w:ind w:left="2449" w:hanging="276"/>
      </w:pPr>
      <w:rPr>
        <w:rFonts w:ascii="Georgia" w:cs="Georgia" w:eastAsia="Georgia" w:hAnsi="Georgia"/>
        <w:sz w:val="21"/>
        <w:szCs w:val="21"/>
      </w:rPr>
    </w:lvl>
    <w:lvl w:ilvl="2">
      <w:start w:val="1"/>
      <w:numFmt w:val="bullet"/>
      <w:lvlText w:val="•"/>
      <w:lvlJc w:val="left"/>
      <w:pPr>
        <w:ind w:left="3731" w:hanging="276"/>
      </w:pPr>
      <w:rPr/>
    </w:lvl>
    <w:lvl w:ilvl="3">
      <w:start w:val="1"/>
      <w:numFmt w:val="bullet"/>
      <w:lvlText w:val="•"/>
      <w:lvlJc w:val="left"/>
      <w:pPr>
        <w:ind w:left="4785" w:hanging="276"/>
      </w:pPr>
      <w:rPr/>
    </w:lvl>
    <w:lvl w:ilvl="4">
      <w:start w:val="1"/>
      <w:numFmt w:val="bullet"/>
      <w:lvlText w:val="•"/>
      <w:lvlJc w:val="left"/>
      <w:pPr>
        <w:ind w:left="5839" w:hanging="276"/>
      </w:pPr>
      <w:rPr/>
    </w:lvl>
    <w:lvl w:ilvl="5">
      <w:start w:val="1"/>
      <w:numFmt w:val="bullet"/>
      <w:lvlText w:val="•"/>
      <w:lvlJc w:val="left"/>
      <w:pPr>
        <w:ind w:left="6894" w:hanging="276"/>
      </w:pPr>
      <w:rPr/>
    </w:lvl>
    <w:lvl w:ilvl="6">
      <w:start w:val="1"/>
      <w:numFmt w:val="bullet"/>
      <w:lvlText w:val="•"/>
      <w:lvlJc w:val="left"/>
      <w:pPr>
        <w:ind w:left="7948" w:hanging="276.0000000000018"/>
      </w:pPr>
      <w:rPr/>
    </w:lvl>
    <w:lvl w:ilvl="7">
      <w:start w:val="1"/>
      <w:numFmt w:val="bullet"/>
      <w:lvlText w:val="•"/>
      <w:lvlJc w:val="left"/>
      <w:pPr>
        <w:ind w:left="9002" w:hanging="276"/>
      </w:pPr>
      <w:rPr/>
    </w:lvl>
    <w:lvl w:ilvl="8">
      <w:start w:val="1"/>
      <w:numFmt w:val="bullet"/>
      <w:lvlText w:val="•"/>
      <w:lvlJc w:val="left"/>
      <w:pPr>
        <w:ind w:left="10056" w:hanging="276"/>
      </w:pPr>
      <w:rPr/>
    </w:lvl>
  </w:abstractNum>
  <w:abstractNum w:abstractNumId="3">
    <w:lvl w:ilvl="0">
      <w:start w:val="5"/>
      <w:numFmt w:val="upperRoman"/>
      <w:lvlText w:val="%1."/>
      <w:lvlJc w:val="left"/>
      <w:pPr>
        <w:ind w:left="466" w:hanging="362"/>
      </w:pPr>
      <w:rPr>
        <w:rFonts w:ascii="Book Antiqua" w:cs="Book Antiqua" w:eastAsia="Book Antiqua" w:hAnsi="Book Antiqua"/>
        <w:b w:val="1"/>
        <w:bCs w:val="1"/>
        <w:sz w:val="22"/>
        <w:szCs w:val="22"/>
      </w:rPr>
    </w:lvl>
    <w:lvl w:ilvl="1">
      <w:start w:val="1"/>
      <w:numFmt w:val="bullet"/>
      <w:lvlText w:val="▪"/>
      <w:lvlJc w:val="left"/>
      <w:pPr>
        <w:ind w:left="464" w:hanging="360"/>
      </w:pPr>
      <w:rPr>
        <w:rFonts w:ascii="Noto Sans Symbols" w:cs="Noto Sans Symbols" w:eastAsia="Noto Sans Symbols" w:hAnsi="Noto Sans Symbols"/>
        <w:sz w:val="21"/>
        <w:szCs w:val="21"/>
      </w:rPr>
    </w:lvl>
    <w:lvl w:ilvl="2">
      <w:start w:val="1"/>
      <w:numFmt w:val="bullet"/>
      <w:lvlText w:val="•"/>
      <w:lvlJc w:val="left"/>
      <w:pPr>
        <w:ind w:left="1546" w:hanging="360"/>
      </w:pPr>
      <w:rPr/>
    </w:lvl>
    <w:lvl w:ilvl="3">
      <w:start w:val="1"/>
      <w:numFmt w:val="bullet"/>
      <w:lvlText w:val="•"/>
      <w:lvlJc w:val="left"/>
      <w:pPr>
        <w:ind w:left="2625" w:hanging="360"/>
      </w:pPr>
      <w:rPr/>
    </w:lvl>
    <w:lvl w:ilvl="4">
      <w:start w:val="1"/>
      <w:numFmt w:val="bullet"/>
      <w:lvlText w:val="•"/>
      <w:lvlJc w:val="left"/>
      <w:pPr>
        <w:ind w:left="3704" w:hanging="360"/>
      </w:pPr>
      <w:rPr/>
    </w:lvl>
    <w:lvl w:ilvl="5">
      <w:start w:val="1"/>
      <w:numFmt w:val="bullet"/>
      <w:lvlText w:val="•"/>
      <w:lvlJc w:val="left"/>
      <w:pPr>
        <w:ind w:left="4783" w:hanging="360"/>
      </w:pPr>
      <w:rPr/>
    </w:lvl>
    <w:lvl w:ilvl="6">
      <w:start w:val="1"/>
      <w:numFmt w:val="bullet"/>
      <w:lvlText w:val="•"/>
      <w:lvlJc w:val="left"/>
      <w:pPr>
        <w:ind w:left="5863" w:hanging="360"/>
      </w:pPr>
      <w:rPr/>
    </w:lvl>
    <w:lvl w:ilvl="7">
      <w:start w:val="1"/>
      <w:numFmt w:val="bullet"/>
      <w:lvlText w:val="•"/>
      <w:lvlJc w:val="left"/>
      <w:pPr>
        <w:ind w:left="6942" w:hanging="360"/>
      </w:pPr>
      <w:rPr/>
    </w:lvl>
    <w:lvl w:ilvl="8">
      <w:start w:val="1"/>
      <w:numFmt w:val="bullet"/>
      <w:lvlText w:val="•"/>
      <w:lvlJc w:val="left"/>
      <w:pPr>
        <w:ind w:left="8021" w:hanging="360"/>
      </w:pPr>
      <w:rPr/>
    </w:lvl>
  </w:abstractNum>
  <w:abstractNum w:abstractNumId="4">
    <w:lvl w:ilvl="0">
      <w:start w:val="4"/>
      <w:numFmt w:val="decimal"/>
      <w:lvlText w:val="%1"/>
      <w:lvlJc w:val="left"/>
      <w:pPr>
        <w:ind w:left="706" w:hanging="360.0000000000002"/>
      </w:pPr>
      <w:rPr/>
    </w:lvl>
    <w:lvl w:ilvl="1">
      <w:start w:val="1"/>
      <w:numFmt w:val="decimal"/>
      <w:lvlText w:val="%1.%2"/>
      <w:lvlJc w:val="left"/>
      <w:pPr>
        <w:ind w:left="644" w:hanging="357"/>
      </w:pPr>
      <w:rPr>
        <w:rFonts w:ascii="Georgia" w:cs="Georgia" w:eastAsia="Georgia" w:hAnsi="Georgia"/>
        <w:b w:val="1"/>
        <w:bCs w:val="1"/>
        <w:sz w:val="21"/>
        <w:szCs w:val="21"/>
      </w:rPr>
    </w:lvl>
    <w:lvl w:ilvl="2">
      <w:start w:val="1"/>
      <w:numFmt w:val="lowerLetter"/>
      <w:lvlText w:val="%3)"/>
      <w:lvlJc w:val="left"/>
      <w:pPr>
        <w:ind w:left="1112" w:hanging="358"/>
      </w:pPr>
      <w:rPr>
        <w:rFonts w:ascii="Georgia" w:cs="Georgia" w:eastAsia="Georgia" w:hAnsi="Georgia"/>
        <w:sz w:val="21"/>
        <w:szCs w:val="21"/>
      </w:rPr>
    </w:lvl>
    <w:lvl w:ilvl="3">
      <w:start w:val="1"/>
      <w:numFmt w:val="bullet"/>
      <w:lvlText w:val="•"/>
      <w:lvlJc w:val="left"/>
      <w:pPr>
        <w:ind w:left="3100" w:hanging="358"/>
      </w:pPr>
      <w:rPr/>
    </w:lvl>
    <w:lvl w:ilvl="4">
      <w:start w:val="1"/>
      <w:numFmt w:val="bullet"/>
      <w:lvlText w:val="•"/>
      <w:lvlJc w:val="left"/>
      <w:pPr>
        <w:ind w:left="4094" w:hanging="358.0000000000009"/>
      </w:pPr>
      <w:rPr/>
    </w:lvl>
    <w:lvl w:ilvl="5">
      <w:start w:val="1"/>
      <w:numFmt w:val="bullet"/>
      <w:lvlText w:val="•"/>
      <w:lvlJc w:val="left"/>
      <w:pPr>
        <w:ind w:left="5089" w:hanging="358"/>
      </w:pPr>
      <w:rPr/>
    </w:lvl>
    <w:lvl w:ilvl="6">
      <w:start w:val="1"/>
      <w:numFmt w:val="bullet"/>
      <w:lvlText w:val="•"/>
      <w:lvlJc w:val="left"/>
      <w:pPr>
        <w:ind w:left="6083" w:hanging="358"/>
      </w:pPr>
      <w:rPr/>
    </w:lvl>
    <w:lvl w:ilvl="7">
      <w:start w:val="1"/>
      <w:numFmt w:val="bullet"/>
      <w:lvlText w:val="•"/>
      <w:lvlJc w:val="left"/>
      <w:pPr>
        <w:ind w:left="7077" w:hanging="357"/>
      </w:pPr>
      <w:rPr/>
    </w:lvl>
    <w:lvl w:ilvl="8">
      <w:start w:val="1"/>
      <w:numFmt w:val="bullet"/>
      <w:lvlText w:val="•"/>
      <w:lvlJc w:val="left"/>
      <w:pPr>
        <w:ind w:left="8071" w:hanging="357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363" w:hanging="363"/>
      </w:pPr>
      <w:rPr>
        <w:rFonts w:ascii="Georgia" w:cs="Georgia" w:eastAsia="Georgia" w:hAnsi="Georgia"/>
        <w:b w:val="1"/>
        <w:bCs w:val="1"/>
        <w:sz w:val="21"/>
        <w:szCs w:val="21"/>
      </w:rPr>
    </w:lvl>
    <w:lvl w:ilvl="1">
      <w:start w:val="1"/>
      <w:numFmt w:val="bullet"/>
      <w:lvlText w:val="•"/>
      <w:lvlJc w:val="left"/>
      <w:pPr>
        <w:ind w:left="363" w:hanging="363"/>
      </w:pPr>
      <w:rPr/>
    </w:lvl>
    <w:lvl w:ilvl="2">
      <w:start w:val="1"/>
      <w:numFmt w:val="bullet"/>
      <w:lvlText w:val="•"/>
      <w:lvlJc w:val="left"/>
      <w:pPr>
        <w:ind w:left="1443" w:hanging="362"/>
      </w:pPr>
      <w:rPr/>
    </w:lvl>
    <w:lvl w:ilvl="3">
      <w:start w:val="1"/>
      <w:numFmt w:val="bullet"/>
      <w:lvlText w:val="•"/>
      <w:lvlJc w:val="left"/>
      <w:pPr>
        <w:ind w:left="2522" w:hanging="363"/>
      </w:pPr>
      <w:rPr/>
    </w:lvl>
    <w:lvl w:ilvl="4">
      <w:start w:val="1"/>
      <w:numFmt w:val="bullet"/>
      <w:lvlText w:val="•"/>
      <w:lvlJc w:val="left"/>
      <w:pPr>
        <w:ind w:left="3601" w:hanging="363"/>
      </w:pPr>
      <w:rPr/>
    </w:lvl>
    <w:lvl w:ilvl="5">
      <w:start w:val="1"/>
      <w:numFmt w:val="bullet"/>
      <w:lvlText w:val="•"/>
      <w:lvlJc w:val="left"/>
      <w:pPr>
        <w:ind w:left="4680" w:hanging="363"/>
      </w:pPr>
      <w:rPr/>
    </w:lvl>
    <w:lvl w:ilvl="6">
      <w:start w:val="1"/>
      <w:numFmt w:val="bullet"/>
      <w:lvlText w:val="•"/>
      <w:lvlJc w:val="left"/>
      <w:pPr>
        <w:ind w:left="5760" w:hanging="363"/>
      </w:pPr>
      <w:rPr/>
    </w:lvl>
    <w:lvl w:ilvl="7">
      <w:start w:val="1"/>
      <w:numFmt w:val="bullet"/>
      <w:lvlText w:val="•"/>
      <w:lvlJc w:val="left"/>
      <w:pPr>
        <w:ind w:left="6839" w:hanging="363"/>
      </w:pPr>
      <w:rPr/>
    </w:lvl>
    <w:lvl w:ilvl="8">
      <w:start w:val="1"/>
      <w:numFmt w:val="bullet"/>
      <w:lvlText w:val="•"/>
      <w:lvlJc w:val="left"/>
      <w:pPr>
        <w:ind w:left="7918" w:hanging="363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466" w:hanging="362"/>
    </w:pPr>
    <w:rPr>
      <w:rFonts w:ascii="Book Antiqua" w:cs="Book Antiqua" w:eastAsia="Book Antiqua" w:hAnsi="Book Antiqua"/>
      <w:b w:val="1"/>
      <w:bCs w:val="1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826" w:hanging="360"/>
    </w:pPr>
    <w:rPr>
      <w:rFonts w:ascii="Book Antiqua" w:cs="Book Antiqua" w:eastAsia="Book Antiqua" w:hAnsi="Book Antiqua"/>
    </w:rPr>
  </w:style>
  <w:style w:type="paragraph" w:styleId="Heading3">
    <w:name w:val="heading 3"/>
    <w:basedOn w:val="Normal"/>
    <w:next w:val="Normal"/>
    <w:pPr>
      <w:widowControl w:val="0"/>
      <w:spacing w:after="0" w:line="240" w:lineRule="auto"/>
      <w:ind w:left="466" w:hanging="362"/>
    </w:pPr>
    <w:rPr>
      <w:rFonts w:ascii="Georgia" w:cs="Georgia" w:eastAsia="Georgia" w:hAnsi="Georgia"/>
      <w:b w:val="1"/>
      <w:bCs w:val="1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ender@r2p.org.ua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yperlink" Target="mailto:tender@r2p.org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2p.org.u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2p@r2p.org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BMSH/vthgCVxStpb9ulx5pDIg==">CgMxLjAyDmguZGFtM3ViamExMDhzMg5oLjN2ZG1uamZlODFiNjIOaC41MG1pN3FtemM5b24yDmguMzhsMzZnNmhvMGJhMg5oLmxvcHFyZTF4a29lYzgAciExVDRmNXZPR0lJV3dvbW5rYUN3c3R4THVSOVZGdnM5ZEs=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