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«Сервіс як конкурентна перевага ринку»  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fkr0n6narco4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«Сервіс як конкурентна перевага ринку»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Чернігівській області.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офлайн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Чернігів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fxnvlgjp7i82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u733d93jcccy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- 25.04.2026, 26.04.2026.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Чернігівська область 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тренінгів за темою “</w:t>
      </w:r>
      <w:r w:rsidDel="00000000" w:rsidR="00000000" w:rsidRPr="00000000">
        <w:rPr>
          <w:sz w:val="20"/>
          <w:szCs w:val="20"/>
          <w:rtl w:val="0"/>
        </w:rPr>
        <w:t xml:space="preserve">Сервіс як конкурентна перевага ринку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«Сервіс як конкурентна перевага ринку»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базу. 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10 годин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будувати сервісну систему для впровадження у власному бізнесі, опанувати сучасні методи  та інструменти реалізації сервісного підходу в бізнесі, засвоїти механізми побудови сервісної культури та доцільності таких дій.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можуть самостійно виділити сервісні інструменти для власного бізнесу, які допоможуть їм у практичній реалізації, знають і розуміються у сучасних методах сервісної культури, можуть скласти власний план дій для реалізації сервісної стратегії у власному підприємстві.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роботи у сервісі та побудові сервісних стратегій бізнесу;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проєктами надасть перевагу;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5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  <w:br w:type="textWrapping"/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s568jhln9h9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37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38">
      <w:pPr>
        <w:spacing w:before="40" w:line="256.8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39">
      <w:pPr>
        <w:spacing w:after="60" w:line="256.8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3A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проїзд та ін),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after="160"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C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D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ind w:left="141" w:right="4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200" w:line="25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bookmarkStart w:colFirst="0" w:colLast="0" w:name="_heading=h.wkyekok77qc2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gLbUUlXujdxGQqdp9gnJ53L/w==">CgMxLjAyDmguZmtyMG42bmFyY280Mg5oLmZ4bnZsZ2pwN2k4MjIOaC51NzMzZDkzamNjY3kyDmguZ3M1NjhqaGxuOWg5Mg5oLndreWVrb2s3N3FjMjgAciExbVZjUnVCTjk2emo5OU9VSVp5T1YxSXFLeExaclNSLUk=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