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Технічне завдання для закупівлі послуги </w:t>
      </w:r>
    </w:p>
    <w:p w:rsidR="00000000" w:rsidDel="00000000" w:rsidP="00000000" w:rsidRDefault="00000000" w:rsidRPr="00000000" w14:paraId="00000002">
      <w:pPr>
        <w:widowControl w:val="0"/>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 дистанційного короткострокового навчання за курсом Логістика</w:t>
      </w:r>
      <w:r w:rsidDel="00000000" w:rsidR="00000000" w:rsidRPr="00000000">
        <w:rPr>
          <w:rFonts w:ascii="Times New Roman" w:cs="Times New Roman" w:eastAsia="Times New Roman" w:hAnsi="Times New Roman"/>
          <w:b w:val="1"/>
          <w:bCs w:val="1"/>
          <w:color w:val="1e1e4b"/>
          <w:sz w:val="20"/>
          <w:szCs w:val="20"/>
          <w:rtl w:val="0"/>
        </w:rPr>
        <w:t xml:space="preserve"> </w:t>
        <w:br w:type="textWrapping"/>
      </w:r>
      <w:r w:rsidDel="00000000" w:rsidR="00000000" w:rsidRPr="00000000">
        <w:rPr>
          <w:rFonts w:ascii="Times New Roman" w:cs="Times New Roman" w:eastAsia="Times New Roman" w:hAnsi="Times New Roman"/>
          <w:b w:val="1"/>
          <w:bCs w:val="1"/>
          <w:sz w:val="20"/>
          <w:szCs w:val="20"/>
          <w:rtl w:val="0"/>
        </w:rPr>
        <w:t xml:space="preserve">від Благодійного Фонду “Право на Захист”</w:t>
      </w:r>
    </w:p>
    <w:p w:rsidR="00000000" w:rsidDel="00000000" w:rsidP="00000000" w:rsidRDefault="00000000" w:rsidRPr="00000000" w14:paraId="00000003">
      <w:pPr>
        <w:widowControl w:val="0"/>
        <w:spacing w:after="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spacing w:after="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bCs w:val="1"/>
          <w:sz w:val="20"/>
          <w:szCs w:val="20"/>
          <w:rtl w:val="0"/>
        </w:rPr>
        <w:t xml:space="preserve">з дистанційного короткострокового навчання за курсом Логістики</w:t>
      </w:r>
      <w:r w:rsidDel="00000000" w:rsidR="00000000" w:rsidRPr="00000000">
        <w:rPr>
          <w:rFonts w:ascii="Times New Roman" w:cs="Times New Roman" w:eastAsia="Times New Roman" w:hAnsi="Times New Roman"/>
          <w:b w:val="1"/>
          <w:bCs w:val="1"/>
          <w:color w:val="1e1e4b"/>
          <w:sz w:val="20"/>
          <w:szCs w:val="20"/>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Формат</w:t>
      </w:r>
      <w:r w:rsidDel="00000000" w:rsidR="00000000" w:rsidRPr="00000000">
        <w:rPr>
          <w:rFonts w:ascii="Times New Roman" w:cs="Times New Roman" w:eastAsia="Times New Roman" w:hAnsi="Times New Roman"/>
          <w:sz w:val="20"/>
          <w:szCs w:val="20"/>
          <w:rtl w:val="0"/>
        </w:rPr>
        <w:t xml:space="preserve">: онлайн, у “живому” форматі. </w:t>
      </w:r>
    </w:p>
    <w:p w:rsidR="00000000" w:rsidDel="00000000" w:rsidP="00000000" w:rsidRDefault="00000000" w:rsidRPr="00000000" w14:paraId="00000007">
      <w:pPr>
        <w:spacing w:after="0" w:line="276"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8">
      <w:pPr>
        <w:spacing w:after="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Дати надання послуг</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01.05.2026р. - 30.12.2026р. </w:t>
      </w:r>
      <w:r w:rsidDel="00000000" w:rsidR="00000000" w:rsidRPr="00000000">
        <w:rPr>
          <w:rFonts w:ascii="Times New Roman" w:cs="Times New Roman" w:eastAsia="Times New Roman" w:hAnsi="Times New Roman"/>
          <w:sz w:val="20"/>
          <w:szCs w:val="20"/>
          <w:rtl w:val="0"/>
        </w:rPr>
        <w:t xml:space="preserve">(точні дати проведення навчання будуть узгоджуватись додатково).</w:t>
      </w:r>
      <w:r w:rsidDel="00000000" w:rsidR="00000000" w:rsidRPr="00000000">
        <w:rPr>
          <w:rtl w:val="0"/>
        </w:rPr>
      </w:r>
    </w:p>
    <w:p w:rsidR="00000000" w:rsidDel="00000000" w:rsidP="00000000" w:rsidRDefault="00000000" w:rsidRPr="00000000" w14:paraId="00000009">
      <w:pPr>
        <w:spacing w:after="0" w:line="276"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Географія учасників проєкту: </w:t>
      </w:r>
      <w:r w:rsidDel="00000000" w:rsidR="00000000" w:rsidRPr="00000000">
        <w:rPr>
          <w:rFonts w:ascii="Times New Roman" w:cs="Times New Roman" w:eastAsia="Times New Roman" w:hAnsi="Times New Roman"/>
          <w:sz w:val="20"/>
          <w:szCs w:val="20"/>
          <w:rtl w:val="0"/>
        </w:rPr>
        <w:t xml:space="preserve">Громади Бучанського району Київської області. </w:t>
      </w:r>
    </w:p>
    <w:p w:rsidR="00000000" w:rsidDel="00000000" w:rsidP="00000000" w:rsidRDefault="00000000" w:rsidRPr="00000000" w14:paraId="0000000B">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after="12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Детальний опис:</w:t>
      </w:r>
      <w:r w:rsidDel="00000000" w:rsidR="00000000" w:rsidRPr="00000000">
        <w:rPr>
          <w:rFonts w:ascii="Times New Roman" w:cs="Times New Roman" w:eastAsia="Times New Roman" w:hAnsi="Times New Roman"/>
          <w:sz w:val="20"/>
          <w:szCs w:val="20"/>
          <w:rtl w:val="0"/>
        </w:rPr>
        <w:t xml:space="preserve"> Провести для жителів громад Бучанського району Київської області дистанційне навчання за курсом Логістики, спрямованим на формування системних знань і практичних навичок у сфері логістики та управління ланцюгами постачання.</w:t>
      </w:r>
    </w:p>
    <w:p w:rsidR="00000000" w:rsidDel="00000000" w:rsidP="00000000" w:rsidRDefault="00000000" w:rsidRPr="00000000" w14:paraId="0000000D">
      <w:pPr>
        <w:spacing w:after="12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Надавач послуги має створити групу з учасниками навчання в месенджері для оперативної комунікації з учасниками навчання. </w:t>
      </w:r>
    </w:p>
    <w:p w:rsidR="00000000" w:rsidDel="00000000" w:rsidP="00000000" w:rsidRDefault="00000000" w:rsidRPr="00000000" w14:paraId="0000000E">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Навчальний курс має охоплювати формування загального уявлення про логістику як сучасну індустрію, її види, ключові функції та актуальні тренди розвитку. Програма має включати основи зовнішньоекономічної діяльності, фінансові аспекти логістики поставок, включаючи податкове регулювання, розрахунки. Курс також має включати модулі з транспортної логістики, зокрема організацію перевезень, вибір перевізників, види транспорту, оформлення транспортної документації, правила перевезень, вимоги до перевезення різних типів вантажів, а також бюджетування транспортної складової. Навчання також має охоплювати основи дистрибуції, клієнтського сервісу, претензійної роботи та організацію каналів збуту.</w:t>
      </w:r>
    </w:p>
    <w:p w:rsidR="00000000" w:rsidDel="00000000" w:rsidP="00000000" w:rsidRDefault="00000000" w:rsidRPr="00000000" w14:paraId="0000000F">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поєднувати надання теоретичного матеріалу та практичного відпрацювання навичок у співвідношенні 30% / 70%. </w:t>
      </w:r>
    </w:p>
    <w:p w:rsidR="00000000" w:rsidDel="00000000" w:rsidP="00000000" w:rsidRDefault="00000000" w:rsidRPr="00000000" w14:paraId="00000010">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навчального модуля має бути надано домашнє завдання учасникам навчання для закріплення теми модуля та практичного відпрацювання.</w:t>
      </w:r>
    </w:p>
    <w:p w:rsidR="00000000" w:rsidDel="00000000" w:rsidP="00000000" w:rsidRDefault="00000000" w:rsidRPr="00000000" w14:paraId="00000011">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 завершенню навчання передбачається, що учасники отримають сертифікат про проходження навчання. </w:t>
      </w:r>
    </w:p>
    <w:p w:rsidR="00000000" w:rsidDel="00000000" w:rsidP="00000000" w:rsidRDefault="00000000" w:rsidRPr="00000000" w14:paraId="00000012">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складатися з не менше ніж 30 академічних годин. </w:t>
      </w:r>
    </w:p>
    <w:p w:rsidR="00000000" w:rsidDel="00000000" w:rsidP="00000000" w:rsidRDefault="00000000" w:rsidRPr="00000000" w14:paraId="00000013">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Тривалість 1 навчального курсу має складатися не більше 3 місяців. Розклад навчання має бути погоджений з замовником послуги.  </w:t>
      </w:r>
    </w:p>
    <w:p w:rsidR="00000000" w:rsidDel="00000000" w:rsidP="00000000" w:rsidRDefault="00000000" w:rsidRPr="00000000" w14:paraId="00000014">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Орієнтовна кількість учасників 1 навчальної групи - 15-20 людей.</w:t>
      </w:r>
    </w:p>
    <w:p w:rsidR="00000000" w:rsidDel="00000000" w:rsidP="00000000" w:rsidRDefault="00000000" w:rsidRPr="00000000" w14:paraId="00000015">
      <w:pPr>
        <w:spacing w:after="120" w:line="276" w:lineRule="auto"/>
        <w:ind w:firstLine="720"/>
        <w:jc w:val="both"/>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Кількість навчальних груп - 3 групи, які у разі набрання такої кількості, можуть навчатися паралельно, або по мірі формування груп. Але точна кількість навчальних груп може бути змінено, що залежатиме від наявності запиту мешканців громад Бучанського району Київської області. </w:t>
      </w:r>
      <w:r w:rsidDel="00000000" w:rsidR="00000000" w:rsidRPr="00000000">
        <w:rPr>
          <w:rtl w:val="0"/>
        </w:rPr>
      </w:r>
    </w:p>
    <w:p w:rsidR="00000000" w:rsidDel="00000000" w:rsidP="00000000" w:rsidRDefault="00000000" w:rsidRPr="00000000" w14:paraId="00000016">
      <w:pPr>
        <w:widowControl w:val="0"/>
        <w:spacing w:after="0" w:lineRule="auto"/>
        <w:jc w:val="both"/>
        <w:rPr>
          <w:rFonts w:ascii="Times New Roman" w:cs="Times New Roman" w:eastAsia="Times New Roman" w:hAnsi="Times New Roman"/>
          <w:sz w:val="20"/>
          <w:szCs w:val="20"/>
        </w:rPr>
      </w:pPr>
      <w:bookmarkStart w:colFirst="0" w:colLast="0" w:name="_heading=h.1fob9te" w:id="0"/>
      <w:bookmarkEnd w:id="0"/>
      <w:r w:rsidDel="00000000" w:rsidR="00000000" w:rsidRPr="00000000">
        <w:rPr>
          <w:rFonts w:ascii="Times New Roman" w:cs="Times New Roman" w:eastAsia="Times New Roman" w:hAnsi="Times New Roman"/>
          <w:b w:val="1"/>
          <w:bCs w:val="1"/>
          <w:sz w:val="20"/>
          <w:szCs w:val="20"/>
          <w:rtl w:val="0"/>
        </w:rPr>
        <w:t xml:space="preserve">Цільова аудиторія: </w:t>
      </w:r>
      <w:r w:rsidDel="00000000" w:rsidR="00000000" w:rsidRPr="00000000">
        <w:rPr>
          <w:rFonts w:ascii="Times New Roman" w:cs="Times New Roman" w:eastAsia="Times New Roman" w:hAnsi="Times New Roman"/>
          <w:sz w:val="20"/>
          <w:szCs w:val="20"/>
          <w:rtl w:val="0"/>
        </w:rPr>
        <w:t xml:space="preserve">Жителі громад Бучанського району Київської області, які підпадають щонайменше під один з критеріїв: </w:t>
      </w:r>
    </w:p>
    <w:p w:rsidR="00000000" w:rsidDel="00000000" w:rsidP="00000000" w:rsidRDefault="00000000" w:rsidRPr="00000000" w14:paraId="00000017">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ВПО;</w:t>
      </w:r>
    </w:p>
    <w:p w:rsidR="00000000" w:rsidDel="00000000" w:rsidP="00000000" w:rsidRDefault="00000000" w:rsidRPr="00000000" w14:paraId="00000018">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одинокі / багатодітні батьки;</w:t>
      </w:r>
    </w:p>
    <w:p w:rsidR="00000000" w:rsidDel="00000000" w:rsidP="00000000" w:rsidRDefault="00000000" w:rsidRPr="00000000" w14:paraId="00000019">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особи з інвалідністю;</w:t>
      </w:r>
    </w:p>
    <w:p w:rsidR="00000000" w:rsidDel="00000000" w:rsidP="00000000" w:rsidRDefault="00000000" w:rsidRPr="00000000" w14:paraId="0000001A">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постраждалі від воєнних дій;</w:t>
      </w:r>
    </w:p>
    <w:p w:rsidR="00000000" w:rsidDel="00000000" w:rsidP="00000000" w:rsidRDefault="00000000" w:rsidRPr="00000000" w14:paraId="0000001B">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інші вразливі категорії. </w:t>
      </w:r>
    </w:p>
    <w:p w:rsidR="00000000" w:rsidDel="00000000" w:rsidP="00000000" w:rsidRDefault="00000000" w:rsidRPr="00000000" w14:paraId="0000001C">
      <w:pPr>
        <w:spacing w:after="0" w:line="276"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Мета надання послуги:</w:t>
      </w:r>
      <w:r w:rsidDel="00000000" w:rsidR="00000000" w:rsidRPr="00000000">
        <w:rPr>
          <w:rFonts w:ascii="Times New Roman" w:cs="Times New Roman" w:eastAsia="Times New Roman" w:hAnsi="Times New Roman"/>
          <w:sz w:val="20"/>
          <w:szCs w:val="20"/>
          <w:rtl w:val="0"/>
        </w:rPr>
        <w:t xml:space="preserve"> Забезпечити вразливих жителів громад Бучанського району Київської області комплексним та практично орієнтованим навчанням у сфері логістики з урахуванням сучасних підходів до організації перевезень, складської логістики, закупівель і планування запасів, а також актуальних вимог українського законодавства та ринку, з метою підвищення їхньої конкурентоспроможності на ринку праці та спроможності до подальшого працевлаштування на посадах логіста, менеджера з логістики, координатора ланцюгів постачання тощо.</w:t>
      </w:r>
    </w:p>
    <w:p w:rsidR="00000000" w:rsidDel="00000000" w:rsidP="00000000" w:rsidRDefault="00000000" w:rsidRPr="00000000" w14:paraId="0000001E">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Результат надання послуги:</w:t>
      </w:r>
      <w:r w:rsidDel="00000000" w:rsidR="00000000" w:rsidRPr="00000000">
        <w:rPr>
          <w:rFonts w:ascii="Times New Roman" w:cs="Times New Roman" w:eastAsia="Times New Roman" w:hAnsi="Times New Roman"/>
          <w:sz w:val="20"/>
          <w:szCs w:val="20"/>
          <w:rtl w:val="0"/>
        </w:rPr>
        <w:t xml:space="preserve"> слухачі навчального курсу отримали системні знання та практичні навички у сфері логістики, зокрема здатність планувати та координувати перевезення, організовувати складські процеси та облік товарно-матеріальних цінностей, здійснювати закупівлі та взаємодію з постачальниками, формувати логістичну документацію. Отримані компетенції забезпечують готовність слухачів до виконання функцій логіста / менеджера з логістики / координатора ланцюгів постачання та підвищують їхні шанси на успішне працевлаштування..</w:t>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after="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Умови співпраці:</w:t>
      </w:r>
    </w:p>
    <w:p w:rsidR="00000000" w:rsidDel="00000000" w:rsidP="00000000" w:rsidRDefault="00000000" w:rsidRPr="00000000" w14:paraId="00000022">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3">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w:t>
      </w:r>
    </w:p>
    <w:p w:rsidR="00000000" w:rsidDel="00000000" w:rsidP="00000000" w:rsidRDefault="00000000" w:rsidRPr="00000000" w14:paraId="00000024">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5">
      <w:pPr>
        <w:spacing w:after="0"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6">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27">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after="200" w:line="276" w:lineRule="auto"/>
        <w:jc w:val="both"/>
        <w:rPr>
          <w:rFonts w:ascii="Times New Roman" w:cs="Times New Roman" w:eastAsia="Times New Roman" w:hAnsi="Times New Roman"/>
          <w:sz w:val="20"/>
          <w:szCs w:val="20"/>
        </w:rPr>
      </w:pPr>
      <w:bookmarkStart w:colFirst="0" w:colLast="0" w:name="_heading=h.xtxu1myqay5n" w:id="1"/>
      <w:bookmarkEnd w:id="1"/>
      <w:r w:rsidDel="00000000" w:rsidR="00000000" w:rsidRPr="00000000">
        <w:rPr>
          <w:rFonts w:ascii="Times New Roman" w:cs="Times New Roman" w:eastAsia="Times New Roman" w:hAnsi="Times New Roman"/>
          <w:b w:val="1"/>
          <w:bCs w:val="1"/>
          <w:sz w:val="20"/>
          <w:szCs w:val="20"/>
          <w:rtl w:val="0"/>
        </w:rPr>
        <w:t xml:space="preserve">Вимоги до подання пропозицій</w:t>
      </w:r>
      <w:r w:rsidDel="00000000" w:rsidR="00000000" w:rsidRPr="00000000">
        <w:rPr>
          <w:rFonts w:ascii="Times New Roman" w:cs="Times New Roman" w:eastAsia="Times New Roman" w:hAnsi="Times New Roman"/>
          <w:sz w:val="20"/>
          <w:szCs w:val="20"/>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bCs w:val="1"/>
          <w:sz w:val="20"/>
          <w:szCs w:val="20"/>
          <w:u w:val="single"/>
          <w:rtl w:val="0"/>
        </w:rPr>
        <w:t xml:space="preserve">українською мовою</w:t>
      </w:r>
      <w:r w:rsidDel="00000000" w:rsidR="00000000" w:rsidRPr="00000000">
        <w:rPr>
          <w:rFonts w:ascii="Times New Roman" w:cs="Times New Roman" w:eastAsia="Times New Roman" w:hAnsi="Times New Roman"/>
          <w:sz w:val="20"/>
          <w:szCs w:val="20"/>
          <w:rtl w:val="0"/>
        </w:rPr>
        <w:t xml:space="preserve"> і містити:</w:t>
      </w:r>
    </w:p>
    <w:p w:rsidR="00000000" w:rsidDel="00000000" w:rsidP="00000000" w:rsidRDefault="00000000" w:rsidRPr="00000000" w14:paraId="00000029">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Реєстраційні документи, банківські реквізити</w:t>
      </w:r>
      <w:r w:rsidDel="00000000" w:rsidR="00000000" w:rsidRPr="00000000">
        <w:rPr>
          <w:rFonts w:ascii="Times New Roman" w:cs="Times New Roman" w:eastAsia="Times New Roman" w:hAnsi="Times New Roman"/>
          <w:sz w:val="20"/>
          <w:szCs w:val="20"/>
          <w:rtl w:val="0"/>
        </w:rPr>
        <w:t xml:space="preserve"> організації/ФОП (виписка, витяг) для укладання договору.</w:t>
      </w:r>
    </w:p>
    <w:p w:rsidR="00000000" w:rsidDel="00000000" w:rsidP="00000000" w:rsidRDefault="00000000" w:rsidRPr="00000000" w14:paraId="0000002A">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Опис досвіду кандидата в проведенні </w:t>
      </w:r>
      <w:r w:rsidDel="00000000" w:rsidR="00000000" w:rsidRPr="00000000">
        <w:rPr>
          <w:rFonts w:ascii="Times New Roman" w:cs="Times New Roman" w:eastAsia="Times New Roman" w:hAnsi="Times New Roman"/>
          <w:sz w:val="20"/>
          <w:szCs w:val="20"/>
          <w:rtl w:val="0"/>
        </w:rPr>
        <w:t xml:space="preserve">навчальних курсів Логістики; досвід створення та проведення дистанційних курсів і здатність забезпечити доступ до навчальних матеріалів онлайн.</w:t>
      </w:r>
    </w:p>
    <w:p w:rsidR="00000000" w:rsidDel="00000000" w:rsidP="00000000" w:rsidRDefault="00000000" w:rsidRPr="00000000" w14:paraId="0000002B">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Опис кваліфікації</w:t>
      </w:r>
      <w:r w:rsidDel="00000000" w:rsidR="00000000" w:rsidRPr="00000000">
        <w:rPr>
          <w:rFonts w:ascii="Times New Roman" w:cs="Times New Roman" w:eastAsia="Times New Roman" w:hAnsi="Times New Roman"/>
          <w:sz w:val="20"/>
          <w:szCs w:val="20"/>
          <w:rtl w:val="0"/>
        </w:rPr>
        <w:t xml:space="preserve"> викладачів; документи про освіту у сфері менеджменту, логістики або релевантної сфери; практичний досвід роботи в сфері.</w:t>
      </w:r>
    </w:p>
    <w:p w:rsidR="00000000" w:rsidDel="00000000" w:rsidP="00000000" w:rsidRDefault="00000000" w:rsidRPr="00000000" w14:paraId="0000002C">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Опис розробленої програми </w:t>
      </w:r>
      <w:r w:rsidDel="00000000" w:rsidR="00000000" w:rsidRPr="00000000">
        <w:rPr>
          <w:rFonts w:ascii="Times New Roman" w:cs="Times New Roman" w:eastAsia="Times New Roman" w:hAnsi="Times New Roman"/>
          <w:sz w:val="20"/>
          <w:szCs w:val="20"/>
          <w:rtl w:val="0"/>
        </w:rPr>
        <w:t xml:space="preserve">навчального курсу Логістики.</w:t>
      </w:r>
    </w:p>
    <w:p w:rsidR="00000000" w:rsidDel="00000000" w:rsidP="00000000" w:rsidRDefault="00000000" w:rsidRPr="00000000" w14:paraId="0000002D">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Інформацію про досвід </w:t>
      </w:r>
      <w:r w:rsidDel="00000000" w:rsidR="00000000" w:rsidRPr="00000000">
        <w:rPr>
          <w:rFonts w:ascii="Times New Roman" w:cs="Times New Roman" w:eastAsia="Times New Roman" w:hAnsi="Times New Roman"/>
          <w:sz w:val="20"/>
          <w:szCs w:val="20"/>
          <w:rtl w:val="0"/>
        </w:rPr>
        <w:t xml:space="preserve">надання вказаних послуг вразливим категоріям населення. </w:t>
      </w:r>
    </w:p>
    <w:p w:rsidR="00000000" w:rsidDel="00000000" w:rsidP="00000000" w:rsidRDefault="00000000" w:rsidRPr="00000000" w14:paraId="0000002E">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Цінову пропозицію,</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в якій просимо зазначити </w:t>
      </w:r>
      <w:r w:rsidDel="00000000" w:rsidR="00000000" w:rsidRPr="00000000">
        <w:rPr>
          <w:rFonts w:ascii="Times New Roman" w:cs="Times New Roman" w:eastAsia="Times New Roman" w:hAnsi="Times New Roman"/>
          <w:b w:val="1"/>
          <w:bCs w:val="1"/>
          <w:sz w:val="20"/>
          <w:szCs w:val="20"/>
          <w:u w:val="single"/>
          <w:rtl w:val="0"/>
        </w:rPr>
        <w:t xml:space="preserve">вартість навчання 1 групи. </w:t>
      </w:r>
      <w:r w:rsidDel="00000000" w:rsidR="00000000" w:rsidRPr="00000000">
        <w:rPr>
          <w:rFonts w:ascii="Times New Roman" w:cs="Times New Roman" w:eastAsia="Times New Roman" w:hAnsi="Times New Roman"/>
          <w:sz w:val="20"/>
          <w:szCs w:val="20"/>
          <w:rtl w:val="0"/>
        </w:rPr>
        <w:t xml:space="preserve">У вартість додати всі витрати, необхідні для надання послуги.</w:t>
      </w:r>
    </w:p>
    <w:p w:rsidR="00000000" w:rsidDel="00000000" w:rsidP="00000000" w:rsidRDefault="00000000" w:rsidRPr="00000000" w14:paraId="0000002F">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Контактну інформацію</w:t>
      </w:r>
      <w:r w:rsidDel="00000000" w:rsidR="00000000" w:rsidRPr="00000000">
        <w:rPr>
          <w:rFonts w:ascii="Times New Roman" w:cs="Times New Roman" w:eastAsia="Times New Roman" w:hAnsi="Times New Roman"/>
          <w:sz w:val="20"/>
          <w:szCs w:val="20"/>
          <w:rtl w:val="0"/>
        </w:rPr>
        <w:t xml:space="preserve"> організації/ експерта(ів).</w:t>
      </w:r>
    </w:p>
    <w:p w:rsidR="00000000" w:rsidDel="00000000" w:rsidP="00000000" w:rsidRDefault="00000000" w:rsidRPr="00000000" w14:paraId="00000030">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after="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p w:rsidR="00000000" w:rsidDel="00000000" w:rsidP="00000000" w:rsidRDefault="00000000" w:rsidRPr="00000000" w14:paraId="00000032">
      <w:pPr>
        <w:spacing w:after="120" w:line="276" w:lineRule="auto"/>
        <w:jc w:val="both"/>
        <w:rPr>
          <w:rFonts w:ascii="Times New Roman" w:cs="Times New Roman" w:eastAsia="Times New Roman" w:hAnsi="Times New Roman"/>
          <w:b w:val="1"/>
          <w:bCs w:val="1"/>
          <w:sz w:val="20"/>
          <w:szCs w:val="20"/>
          <w:highlight w:val="yellow"/>
        </w:rPr>
      </w:pPr>
      <w:r w:rsidDel="00000000" w:rsidR="00000000" w:rsidRPr="00000000">
        <w:rPr>
          <w:rtl w:val="0"/>
        </w:rPr>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1935"/>
        <w:gridCol w:w="5970"/>
        <w:gridCol w:w="1635"/>
        <w:tblGridChange w:id="0">
          <w:tblGrid>
            <w:gridCol w:w="555"/>
            <w:gridCol w:w="1935"/>
            <w:gridCol w:w="5970"/>
            <w:gridCol w:w="1635"/>
          </w:tblGrid>
        </w:tblGridChange>
      </w:tblGrid>
      <w:tr>
        <w:trPr>
          <w:cantSplit w:val="0"/>
          <w:trHeight w:val="227"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3">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ШКАЛА ОЦІНКИ ТЕХНІЧНИХ ВИМОГ</w:t>
            </w:r>
          </w:p>
        </w:tc>
      </w:tr>
      <w:tr>
        <w:trPr>
          <w:cantSplit w:val="0"/>
          <w:trHeight w:val="669"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7">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8">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 технічним вимогам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tcPr>
          <w:p w:rsidR="00000000" w:rsidDel="00000000" w:rsidP="00000000" w:rsidRDefault="00000000" w:rsidRPr="00000000" w14:paraId="00000039">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A">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26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3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3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у проведенні навчальних курсів Логістики</w:t>
            </w:r>
          </w:p>
          <w:p w:rsidR="00000000" w:rsidDel="00000000" w:rsidP="00000000" w:rsidRDefault="00000000" w:rsidRPr="00000000" w14:paraId="0000003D">
            <w:pPr>
              <w:spacing w:after="12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3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надано інформацію щодо досвіду проведення навчальних курсів Логістики (досвід проведення навчальних курсів становить понад 5 років). </w:t>
            </w:r>
          </w:p>
          <w:p w:rsidR="00000000" w:rsidDel="00000000" w:rsidP="00000000" w:rsidRDefault="00000000" w:rsidRPr="00000000" w14:paraId="0000003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Кандидатом надано інформацію щодо досвіду проведення навчальних курсів Логістики (досвід проведення навчальних курсів становить менше 5 років). </w:t>
            </w:r>
          </w:p>
          <w:p w:rsidR="00000000" w:rsidDel="00000000" w:rsidP="00000000" w:rsidRDefault="00000000" w:rsidRPr="00000000" w14:paraId="00000040">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з відсутністю актуального досвіду за останні 5 років у сфері проведення аналогічних навчань, або кандидатом не надано інформацію про релевантний до сфери та завдань проєкту досвід.</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1">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37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2">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3">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Кваліфікація викладачів</w:t>
              <w:br w:type="textWrapping"/>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44">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надано вичерпну інформацію щодо кваліфікації викладачів, освіти,  їхнього досвіду, в тому числі практичного досвід роботи в сфері, навичок, досягнень, розроблених методичних матеріалів та напрацювань за час набуття досвіду.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45">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Кандидатом надано узагальнену інформацію щодо кваліфікації викладачів, освіти, їхнього досвіду, в тому числі практичного досвід роботи в сфері;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46">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щодо кваліфікації викладачів з відсутністю актуального досвіду за останні 5 років у сфері проведення аналогічних навчань, або кандидатом не надано резюме, або досвід не є релевантним до сфери та завдань проєкту.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7">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16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8">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Подання зразка розробленої програми навчального курсу Логістики</w:t>
            </w:r>
          </w:p>
          <w:p w:rsidR="00000000" w:rsidDel="00000000" w:rsidP="00000000" w:rsidRDefault="00000000" w:rsidRPr="00000000" w14:paraId="0000004A">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12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4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надані матеріали, які містять ґрунтовне пропрацювання навчального курсу Логістики. Програма передбачає домашні завдання для слухачів.</w:t>
            </w:r>
          </w:p>
          <w:p w:rsidR="00000000" w:rsidDel="00000000" w:rsidP="00000000" w:rsidRDefault="00000000" w:rsidRPr="00000000" w14:paraId="0000004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Кандидатом надані матеріали програми без деталізованого опису. </w:t>
            </w:r>
          </w:p>
          <w:p w:rsidR="00000000" w:rsidDel="00000000" w:rsidP="00000000" w:rsidRDefault="00000000" w:rsidRPr="00000000" w14:paraId="0000004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жодних матеріалів не подано.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F">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24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0">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1">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проведення навчального курсу Логістики для вразливих категорій населення (ВПО, особи з інвалідністю тощо)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2">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 має досвід проведення навчального курсу Логістики для вразливих категорій населення понад 3 роки, розуміє специфіку їх потреб та викликів.</w:t>
            </w:r>
          </w:p>
          <w:p w:rsidR="00000000" w:rsidDel="00000000" w:rsidP="00000000" w:rsidRDefault="00000000" w:rsidRPr="00000000" w14:paraId="00000053">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має досвід проведення навчального курсу Логістики для вразливих категорій населення до 3 років, але розуміє специфіку їх потреб та викликів.</w:t>
            </w:r>
          </w:p>
          <w:p w:rsidR="00000000" w:rsidDel="00000000" w:rsidP="00000000" w:rsidRDefault="00000000" w:rsidRPr="00000000" w14:paraId="00000054">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має досвіду проведення навчального курсу Логістики для вразливих категорій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5">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288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6">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7">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Відгуки та рекомендації попередніх клієнтів, які пройшли курси Логістики</w:t>
            </w:r>
          </w:p>
          <w:p w:rsidR="00000000" w:rsidDel="00000000" w:rsidP="00000000" w:rsidRDefault="00000000" w:rsidRPr="00000000" w14:paraId="00000058">
            <w:pPr>
              <w:spacing w:after="0" w:line="276"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9">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 надав відгуки або рекомендації від клієнтів, які пройшли курси Логістики. Відгуки містять конкретні дані про покращення знань або навичок слухачів, результати їх навчання, а також про якість курсу.</w:t>
            </w:r>
          </w:p>
          <w:p w:rsidR="00000000" w:rsidDel="00000000" w:rsidP="00000000" w:rsidRDefault="00000000" w:rsidRPr="00000000" w14:paraId="0000005A">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 надав загальні відгуки або рекомендації від клієнтів, які пройшли курси Логістики, але відгуки не містять конкретних даних щодо результатів або покращень, або вони є менш детальними. </w:t>
            </w:r>
          </w:p>
          <w:p w:rsidR="00000000" w:rsidDel="00000000" w:rsidP="00000000" w:rsidRDefault="00000000" w:rsidRPr="00000000" w14:paraId="0000005B">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відгуків або рекомендацій від попередніх клієнтів, або відгуки не стосуються навчальних курсів Логістики.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C">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D">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E">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Наявність додаткової підтримки слухачів навчальних курсів під час навчання (додаткові вебінари, тренінги, сприяння у працевлаштуванні, відеозаписи пройдених тем, спільний чат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 надав інформацію про можливість підтримки слухачів під час навчального курсу, яка включає додаткові вебінари, тренінги, консультації, сприяння у працевлаштуванні, відеозаписи пройдених тем, спільний чат тощо. </w:t>
            </w:r>
          </w:p>
          <w:p w:rsidR="00000000" w:rsidDel="00000000" w:rsidP="00000000" w:rsidRDefault="00000000" w:rsidRPr="00000000" w14:paraId="00000060">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 надав загальний опис підтримки слухачів під час навчального курсу, наприклад, можливість консультацій або допомоги в працевлаштуванні,відеозаписи пройдених тем, спільний чат, але без чітких деталей або конкретних ініціатив.</w:t>
            </w:r>
          </w:p>
          <w:p w:rsidR="00000000" w:rsidDel="00000000" w:rsidP="00000000" w:rsidRDefault="00000000" w:rsidRPr="00000000" w14:paraId="0000006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інформації щодо підтримки слухачів курсу або зазначено, що така підтримка відсутня.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495" w:hRule="atLeast"/>
          <w:tblHeader w:val="0"/>
        </w:trPr>
        <w:tc>
          <w:tcPr>
            <w:tcBorders>
              <w:left w:color="000000" w:space="0" w:sz="4" w:val="single"/>
              <w:bottom w:color="000000" w:space="0" w:sz="4" w:val="single"/>
            </w:tcBorders>
          </w:tcPr>
          <w:p w:rsidR="00000000" w:rsidDel="00000000" w:rsidP="00000000" w:rsidRDefault="00000000" w:rsidRPr="00000000" w14:paraId="00000063">
            <w:pPr>
              <w:widowControl w:val="0"/>
              <w:spacing w:after="20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shd w:fill="ffffff" w:val="clear"/>
          </w:tcPr>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РАЗОМ</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tcPr>
          <w:p w:rsidR="00000000" w:rsidDel="00000000" w:rsidP="00000000" w:rsidRDefault="00000000" w:rsidRPr="00000000" w14:paraId="00000066">
            <w:pPr>
              <w:widowControl w:val="0"/>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bl>
    <w:p w:rsidR="00000000" w:rsidDel="00000000" w:rsidP="00000000" w:rsidRDefault="00000000" w:rsidRPr="00000000" w14:paraId="00000067">
      <w:pPr>
        <w:spacing w:after="0" w:line="276"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68">
      <w:pPr>
        <w:spacing w:after="0" w:line="276" w:lineRule="auto"/>
        <w:jc w:val="both"/>
        <w:rPr>
          <w:rFonts w:ascii="Times New Roman" w:cs="Times New Roman" w:eastAsia="Times New Roman" w:hAnsi="Times New Roman"/>
          <w:sz w:val="20"/>
          <w:szCs w:val="20"/>
        </w:rPr>
      </w:pPr>
      <w:r w:rsidDel="00000000" w:rsidR="00000000" w:rsidRPr="00000000">
        <w:rPr>
          <w:rtl w:val="0"/>
        </w:rPr>
      </w:r>
    </w:p>
    <w:sectPr>
      <w:headerReference r:id="rId7"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-529576</wp:posOffset>
          </wp:positionH>
          <wp:positionV relativeFrom="paragraph">
            <wp:posOffset>-85076</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m2dClWF2vWuLOUaNNZ7oSZDgQ==">CgMxLjAyCWguMWZvYjl0ZTIOaC54dHh1MW15cWF5NW44AHIhMW1PODFaQ2hqZEdkUHNiRnZSdnBWUGtfMlJWcDJKT2d5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