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17 грудня 2025 р.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Технічне завдання для закупівлі послуг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2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Ментора(ів) з розробки HR стратегії для Благодійного фонду "Право на захист"</w:t>
      </w:r>
    </w:p>
    <w:p w:rsidR="00000000" w:rsidDel="00000000" w:rsidP="00000000" w:rsidRDefault="00000000" w:rsidRPr="00000000" w14:paraId="00000005">
      <w:pPr>
        <w:widowControl w:val="0"/>
        <w:spacing w:after="20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включає в себе відділ HR. У зоні відповідальності даного відділу знаходяться повний цикл роботи з персоналом (від пошуку кандидатів до завершення співпраці в Організації), а також внутрішні комунікації, оцінка та розвиток персоналу. У рамках своєї діяльності відділ співпрацює з внутрішніми та зовнішніми стейкхолдерами (донори, партнери, кандидати). 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Поточні виклики відділу HR: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Відсутність чітко визначених стратегічних пріоритетів.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Завантаженість керівного складу організації та команди операційними завданнями без можливості сфокусуватися на стратегічних цілях.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Відсутні побудовані процеси внутрішніх комунікацій.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Нерівномірне залучення керівників Фонду в HR процеси.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Обмеження ресурсу експертів на ринку праці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HR-команда часто сприймається переважно як сервісна та операційна функція. Потребує посилення роль HR як партнера для керівників у питаннях планування команд, розвитку працівників, управління складними ситуаціями та впровадження змін.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Фінансово обмежена кількість фахівців відділу.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Є необхідність створити практичну HR стратегію, яка допоможе визначити пріоритети, фокусуватися на ключових цілях, оптимізувати роботу та встановити зрозумілі KPI для команди.</w:t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Формат надання послуг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Гібридна (онлайн/офлайн). Можливі офлайн заходи для обговорення стратегії та моніторингові зустрічі у Києві.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Період надання послуг: </w:t>
      </w:r>
      <w:r w:rsidDel="00000000" w:rsidR="00000000" w:rsidRPr="00000000">
        <w:rPr>
          <w:rFonts w:ascii="Arial" w:cs="Arial" w:eastAsia="Arial" w:hAnsi="Arial"/>
          <w:rtl w:val="0"/>
        </w:rPr>
        <w:t xml:space="preserve">січень - травень  2026 року</w:t>
      </w:r>
    </w:p>
    <w:p w:rsidR="00000000" w:rsidDel="00000000" w:rsidP="00000000" w:rsidRDefault="00000000" w:rsidRPr="00000000" w14:paraId="00000011">
      <w:pPr>
        <w:spacing w:after="2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Кількість надавачів послуг:</w:t>
      </w:r>
      <w:r w:rsidDel="00000000" w:rsidR="00000000" w:rsidRPr="00000000">
        <w:rPr>
          <w:rFonts w:ascii="Arial" w:cs="Arial" w:eastAsia="Arial" w:hAnsi="Arial"/>
          <w:rtl w:val="0"/>
        </w:rPr>
        <w:t xml:space="preserve"> в рамках даного тендеру буде відібрано 1 переможця.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Технічне завдання в рамках надання послуг:</w:t>
      </w:r>
    </w:p>
    <w:tbl>
      <w:tblPr>
        <w:tblStyle w:val="Table1"/>
        <w:tblW w:w="10080.0" w:type="dxa"/>
        <w:jc w:val="left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0"/>
        <w:gridCol w:w="4440"/>
        <w:gridCol w:w="1770"/>
        <w:tblGridChange w:id="0">
          <w:tblGrid>
            <w:gridCol w:w="3870"/>
            <w:gridCol w:w="4440"/>
            <w:gridCol w:w="1770"/>
          </w:tblGrid>
        </w:tblGridChange>
      </w:tblGrid>
      <w:tr>
        <w:trPr>
          <w:cantSplit w:val="0"/>
          <w:trHeight w:val="949.017944335937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Завдання та обов’язки залученого Ментора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Результат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1395.8496093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2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260"/>
              <w:tblGridChange w:id="0">
                <w:tblGrid>
                  <w:gridCol w:w="426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Проведення аудиту поточних HR процесів та ознайомлення зі стратегією Організації</w:t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705.0" w:type="dxa"/>
              <w:jc w:val="left"/>
              <w:tblInd w:w="45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705"/>
              <w:tblGridChange w:id="0">
                <w:tblGrid>
                  <w:gridCol w:w="3705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Проаналізовано і визначено  ефективність ввідних документів, інтерв’ю з командою відділу, опитування керівного складу тощо.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50"/>
              <w:tblGridChange w:id="0">
                <w:tblGrid>
                  <w:gridCol w:w="135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Січень 2026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.91406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2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260"/>
              <w:tblGridChange w:id="0">
                <w:tblGrid>
                  <w:gridCol w:w="426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Розробка структури HR стратегії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37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750"/>
              <w:tblGridChange w:id="0">
                <w:tblGrid>
                  <w:gridCol w:w="375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Підготовлено та погоджено структуру стратегії відповідно до потреб та стратегії Фонду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50"/>
              <w:tblGridChange w:id="0">
                <w:tblGrid>
                  <w:gridCol w:w="135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Лютий 2026</w:t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5.9570312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42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260"/>
              <w:tblGridChange w:id="0">
                <w:tblGrid>
                  <w:gridCol w:w="426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Проведення стратегічних сесій з командою HR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749.999999999999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749.9999999999995"/>
              <w:tblGridChange w:id="0">
                <w:tblGrid>
                  <w:gridCol w:w="3749.9999999999995"/>
                </w:tblGrid>
              </w:tblGridChange>
            </w:tblGrid>
            <w:tr>
              <w:trPr>
                <w:cantSplit w:val="0"/>
                <w:trHeight w:val="1174.445800781249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Проведено не менше 2 стратегічних  сесій, спрямованих на визначення цілей і KPI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Лютий 2026</w:t>
            </w:r>
          </w:p>
        </w:tc>
      </w:tr>
      <w:tr>
        <w:trPr>
          <w:cantSplit w:val="0"/>
          <w:trHeight w:val="1337.8710937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42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260"/>
              <w:tblGridChange w:id="0">
                <w:tblGrid>
                  <w:gridCol w:w="426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Узгодження та затвердження стратегічних напрямків в організаційній структурі відділу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7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750"/>
              <w:tblGridChange w:id="0">
                <w:tblGrid>
                  <w:gridCol w:w="3750"/>
                </w:tblGrid>
              </w:tblGridChange>
            </w:tblGrid>
            <w:tr>
              <w:trPr>
                <w:cantSplit w:val="0"/>
                <w:trHeight w:val="1236.91406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Погоджено та затверджено ключові напрями організаційної структури відділу згідно з завданнями HR стратегії</w:t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Березень 2026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Проведення супервізії підготовки HR стратегії та її імплементації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Проведено супервізію підготовки HR стратегії та її імплементації (20 годин) 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Квітень-Травень 2026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Підготовка фінальної версії HR стратегії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Затверджено HR стратегію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Травень 2026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Формування операційного плану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Сформовано та погоджено операційний план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Травень 2026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Подання фінального звіту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Сформовано та затверджено фінальний звіт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Травень 2026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200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0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Звітність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t xml:space="preserve">Ментор/ментори подає описовий звіт по кожному із передбачених завдань, зразки розроблених матеріалів, які стали підставою для оплати за надані послуги, таблиці, реєстри та інші продукти, а також фінальний звіт та фінальну версію HR стратегії. Всі матеріали розроблені в рамках реалізації проєкту зберігаються на корпоративному диску.</w:t>
      </w:r>
    </w:p>
    <w:p w:rsidR="00000000" w:rsidDel="00000000" w:rsidP="00000000" w:rsidRDefault="00000000" w:rsidRPr="00000000" w14:paraId="0000004A">
      <w:pPr>
        <w:spacing w:after="2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Звіти та всі супровідні матеріали, виготовлені ментором в рамках проєкту, передані Фонду без обтяження щодо авторських прав.</w:t>
      </w:r>
    </w:p>
    <w:p w:rsidR="00000000" w:rsidDel="00000000" w:rsidP="00000000" w:rsidRDefault="00000000" w:rsidRPr="00000000" w14:paraId="0000004B">
      <w:pPr>
        <w:spacing w:after="2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Звіт подається щомісячно або по факту надання послуг.</w:t>
        <w:br w:type="textWrapping"/>
        <w:t xml:space="preserve">Подання фінального звіту є обов’язковим.</w:t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Умови співпраці</w:t>
      </w:r>
    </w:p>
    <w:p w:rsidR="00000000" w:rsidDel="00000000" w:rsidP="00000000" w:rsidRDefault="00000000" w:rsidRPr="00000000" w14:paraId="0000004D">
      <w:pPr>
        <w:spacing w:after="20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може бути юридична особа (ПП, ФОП та інше), який подає свою пропозицію на участь у тендері відповідно до вимог.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firstLine="56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протягом 7 робочих днів з дати затвердження акту наданих послуг або виконаних робіт.</w:t>
        <w:br w:type="textWrapping"/>
        <w:br w:type="textWrapping"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Оплата послуг здійснюється поетапно відповідно до календарного плану реалізації проєкту.</w:t>
      </w:r>
    </w:p>
    <w:p w:rsidR="00000000" w:rsidDel="00000000" w:rsidP="00000000" w:rsidRDefault="00000000" w:rsidRPr="00000000" w14:paraId="0000004F">
      <w:pPr>
        <w:spacing w:after="200" w:line="240" w:lineRule="auto"/>
        <w:ind w:firstLine="56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Загальна вартість договору є фіксованою та включає всі етапи робіт.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firstLine="56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Оплата здійснюється на підставі підписаних актів приймання-передачі послуг  протягом 7 робочих днів з дати затвердження акту наданих послуг або виконаних робіт.</w:t>
        <w:br w:type="textWrapping"/>
        <w:t xml:space="preserve">у розмірах, визначених у календарному плані (згідно Додатоку до Договору, який буде узгоджений з переможцем тендеру).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firstLine="568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2">
      <w:pPr>
        <w:spacing w:after="20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Учасник у будь-який момент, але не пізніше як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один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Податки, збори або платежі </w:t>
      </w:r>
      <w:r w:rsidDel="00000000" w:rsidR="00000000" w:rsidRPr="00000000">
        <w:rPr>
          <w:rFonts w:ascii="Arial" w:cs="Arial" w:eastAsia="Arial" w:hAnsi="Arial"/>
          <w:rtl w:val="0"/>
        </w:rPr>
        <w:t xml:space="preserve">сплачуються ментором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отриманої суми відпов</w:t>
      </w:r>
      <w:r w:rsidDel="00000000" w:rsidR="00000000" w:rsidRPr="00000000">
        <w:rPr>
          <w:rFonts w:ascii="Arial" w:cs="Arial" w:eastAsia="Arial" w:hAnsi="Arial"/>
          <w:rtl w:val="0"/>
        </w:rPr>
        <w:t xml:space="preserve">ідно до діючого законодавства України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Учасник немає бути 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Учасник, що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надаватиме послуги як ФОП,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немає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276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Вимоги до подання пропозицій</w:t>
      </w:r>
    </w:p>
    <w:p w:rsidR="00000000" w:rsidDel="00000000" w:rsidP="00000000" w:rsidRDefault="00000000" w:rsidRPr="00000000" w14:paraId="00000057">
      <w:pPr>
        <w:spacing w:after="20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u w:val="single"/>
          <w:rtl w:val="0"/>
        </w:rPr>
        <w:t xml:space="preserve">українською мовою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widowControl w:val="0"/>
        <w:spacing w:after="200" w:lineRule="auto"/>
        <w:jc w:val="both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Просимо надати наступний пакет документів, який буде містити::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Контактна інформація ментора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Опис досвіду роботи, включаючи інформацію про попередній дотичний досвід в тому числі досвід у супроводі розробки HR стратегії для НОУ, та досвід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highlight w:val="white"/>
          <w:rtl w:val="0"/>
        </w:rPr>
        <w:t xml:space="preserve"> супроводу створення HR стратегій для бізнес-компаній національного рівня є критично важливим для забезпечення управлінської зрілості HR функції, впровадження чіткої системи пріоритетів, вимірюваних KPI, процесної дисципліни та ефективного використання обмежених ресурсів. Саме бізнес-досвід дозволяє трансформувати HR із реактивної сервісної функції в повноцінного стратегічного партнера керівництва, що є ключовим викликом для Фонду.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Опис практичного досвіду в HR сфері з різними організаціями (не менше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Рекомендаційні листи з контактами НОУ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Детальний опис пропонованого плану робіт по кожному етапу, зазначеному в Технічному завданні.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Запропонована вартість послуг та порядок розрахунку даної вартості та інших витрат.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Просимо вказувати загальну вартість, що включає вартість всіх етапів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Проведення аудиту поточних HR процесів та ознайомлення зі стратегією Організації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Розробка структури HR стратегії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Проведення стратегічних сесій з командою HR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Узгодження та затвердження стратегічних напрямків в організаційній структурі відділу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Проведення супервізії підготовки HR стратегії та її імплементації (20 годин)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Підготовка фінальної версії HR стратегії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Формування операційного плану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Подання фінального звіту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Вартість на організацію офлайн заходів, а саме на проживання і харчування тренера.</w:t>
      </w:r>
    </w:p>
    <w:p w:rsidR="00000000" w:rsidDel="00000000" w:rsidP="00000000" w:rsidRDefault="00000000" w:rsidRPr="00000000" w14:paraId="00000068">
      <w:pPr>
        <w:spacing w:after="24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До Вашої пропозиції просимо додати наступні документи: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Реєстраційні документи юридичної особи, зокрема: копія витягу або виписки з Єдиного державного реєстру юридичних осіб та інше;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Копія свідоцтва про реєстрацію платника податків;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Контакти осіб, які можуть надати рекомендації або рекомендаційні листи.</w:t>
      </w:r>
    </w:p>
    <w:p w:rsidR="00000000" w:rsidDel="00000000" w:rsidP="00000000" w:rsidRDefault="00000000" w:rsidRPr="00000000" w14:paraId="0000006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86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Підведення підсумків конкурсу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112" w:firstLine="56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tbl>
      <w:tblPr>
        <w:tblStyle w:val="Table13"/>
        <w:tblW w:w="91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2400"/>
        <w:gridCol w:w="4665"/>
        <w:gridCol w:w="1665"/>
        <w:tblGridChange w:id="0">
          <w:tblGrid>
            <w:gridCol w:w="435"/>
            <w:gridCol w:w="2400"/>
            <w:gridCol w:w="4665"/>
            <w:gridCol w:w="166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4"/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Відповідність технічним вимогам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4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 за вимогою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Досвід супроводу створення HR стратегії для НУО національного рівня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або організацією із соціальною/гуманітарною місією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бали за кожну організацію - учасник надав перелік організацій, для яких здійснював супровід створення HR стратегії для принаймні однієї національної НУО або організацією із соціальною/гуманітарною місією,  з контактами цих організацій для підтвердження співпраці.</w:t>
            </w:r>
          </w:p>
          <w:p w:rsidR="00000000" w:rsidDel="00000000" w:rsidP="00000000" w:rsidRDefault="00000000" w:rsidRPr="00000000" w14:paraId="00000079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жодного контакту для підтвердження досвіду  супроводу створення HR стратегії  для НУО  або не надав переліку організацій, з якими працював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rPr>
          <w:cantSplit w:val="0"/>
          <w:trHeight w:val="3459.077758789062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rPr>
                <w:rFonts w:ascii="Arial" w:cs="Arial" w:eastAsia="Arial" w:hAnsi="Arial"/>
                <w:shd w:fill="fce5cd" w:val="clear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Досвід супроводу створення HR стратегії для бізнес компаній національного рівня різних профілів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бали за кожну компанію - учасник надав перелік компаній, для яких здійснював супровід створення HR стратегії для принаймні 2-х (двох) національних компаній, з контактами цих компаній для підтвердження співпраці.</w:t>
            </w:r>
          </w:p>
          <w:p w:rsidR="00000000" w:rsidDel="00000000" w:rsidP="00000000" w:rsidRDefault="00000000" w:rsidRPr="00000000" w14:paraId="0000007F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жодного контакту для підтвердження досвіду  супроводу створення HR стратегії  для національних бізнес компаній або не надав переліку компаній, з якими працював.</w:t>
            </w:r>
          </w:p>
          <w:p w:rsidR="00000000" w:rsidDel="00000000" w:rsidP="00000000" w:rsidRDefault="00000000" w:rsidRPr="00000000" w14:paraId="00000080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Досвід фасилітації стратегічних сесій для НУО національного рівня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бал за кожну організацію - учасник надав перелік організацій, для яких здійснював фасилітацію стратегічних сесій для принаймні однієї національної НУО, з контактами цих організацій для підтвердження співпраці.</w:t>
            </w:r>
          </w:p>
          <w:p w:rsidR="00000000" w:rsidDel="00000000" w:rsidP="00000000" w:rsidRDefault="00000000" w:rsidRPr="00000000" w14:paraId="00000085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жодного контакту для підтвердження досвіду  фасилітацій стратегічних сесій  для НУО  або не надав переліку організацій, з якими працював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Досвід супервізійного супроводу для НУО національного рівня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бал за кожну організацію - учасник надав перелік організацій, для яких здійснював супервізійний супровід для принаймні однієї національної НУО, з контактами цих організацій для підтвердження співпраці.</w:t>
            </w:r>
          </w:p>
          <w:p w:rsidR="00000000" w:rsidDel="00000000" w:rsidP="00000000" w:rsidRDefault="00000000" w:rsidRPr="00000000" w14:paraId="0000008A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жодного контакту для підтвердження досвіду  супервізійного супроводу для НУО  або не надав переліку організацій, з якими працював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rPr>
          <w:cantSplit w:val="0"/>
          <w:trHeight w:val="1729.89257812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Запропонований деталізований план опрацювання кожного етапу робіт</w:t>
              <w:br w:type="textWrapping"/>
              <w:br w:type="textWrapping"/>
            </w:r>
          </w:p>
          <w:p w:rsidR="00000000" w:rsidDel="00000000" w:rsidP="00000000" w:rsidRDefault="00000000" w:rsidRPr="00000000" w14:paraId="0000008E">
            <w:pPr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Запропонований деталізований план опрацювання кожного етапу робіт згідно з Технічним завданням, прописані етапи, зазначені інстриментри, прописані результати плану   - 24 бали</w:t>
              <w:br w:type="textWrapping"/>
            </w:r>
          </w:p>
          <w:p w:rsidR="00000000" w:rsidDel="00000000" w:rsidP="00000000" w:rsidRDefault="00000000" w:rsidRPr="00000000" w14:paraId="00000090">
            <w:pPr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Запропонований загальний план опрацювання кожного етапу робіт згідно з Технічним завданням, не вказані етапи, не зазначені інстриментри, не прописані результати плану   - 10 балів</w:t>
              <w:br w:type="textWrapping"/>
              <w:br w:type="textWrapping"/>
              <w:t xml:space="preserve">Запропонований план опрацювання без етапності робіт  - 5 балів</w:t>
              <w:br w:type="textWrapping"/>
              <w:br w:type="textWrapping"/>
              <w:t xml:space="preserve">План не додано до тендерної пропозиції - 0 балів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Рекомендаційні листи від НУО міжнародних або національного рівня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бали за кожен рекомендаційний лист: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учасник надав один лист від НУО міжнародного або національного рівня </w:t>
              <w:br w:type="textWrapping"/>
              <w:t xml:space="preserve">0 балів – учасник не надав жодного листа від НУО міжнародних або національного рівня 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20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96">
      <w:pPr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200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992.1259842519685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semiHidden w:val="1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ggyhizQePix1kZLKM7Q773L8Q==">CgMxLjAyCWguMzBqMHpsbDIIaC5namRneHM4AHIhMTVkSDl6LVZSaG9tUnloa0pVTkk0NHNwY09aVUx1NFZk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2024-08-22T06:51:00Z</dcterms:created>
  <dc:creator>User</dc:creator>
</cp:coreProperties>
</file>