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380"/>
        </w:tabs>
        <w:rPr/>
      </w:pPr>
      <w:r w:rsidDel="00000000" w:rsidR="00000000" w:rsidRPr="00000000">
        <w:rPr>
          <w:rtl w:val="0"/>
        </w:rPr>
      </w:r>
    </w:p>
    <w:p w:rsidR="00000000" w:rsidDel="00000000" w:rsidP="00000000" w:rsidRDefault="00000000" w:rsidRPr="00000000" w14:paraId="00000002">
      <w:pPr>
        <w:widowControl w:val="0"/>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20.02.2025</w:t>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Terms of reference for the procurement of services</w:t>
      </w:r>
    </w:p>
    <w:p w:rsidR="00000000" w:rsidDel="00000000" w:rsidP="00000000" w:rsidRDefault="00000000" w:rsidRPr="00000000" w14:paraId="00000004">
      <w:pPr>
        <w:widowControl w:val="0"/>
        <w:spacing w:after="200" w:lineRule="auto"/>
        <w:ind w:firstLine="720"/>
        <w:jc w:val="cente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Project monitoring and evaluation specialist</w:t>
      </w:r>
    </w:p>
    <w:p w:rsidR="00000000" w:rsidDel="00000000" w:rsidP="00000000" w:rsidRDefault="00000000" w:rsidRPr="00000000" w14:paraId="00000005">
      <w:pPr>
        <w:widowControl w:val="0"/>
        <w:spacing w:after="20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Charitable Organization "Charitable Foundation "RIGHT TO PROTECT" (hereinafter referred to as the Foundation) </w:t>
      </w:r>
      <w:r w:rsidDel="00000000" w:rsidR="00000000" w:rsidRPr="00000000">
        <w:rPr>
          <w:rFonts w:ascii="Times New Roman" w:cs="Times New Roman" w:eastAsia="Times New Roman" w:hAnsi="Times New Roman"/>
          <w:b w:val="1"/>
          <w:sz w:val="22"/>
          <w:szCs w:val="22"/>
          <w:rtl w:val="0"/>
        </w:rPr>
        <w:t xml:space="preserve">is implementing the project "Capacity Building and Networking of Local Civil Society Organizations (hereinafter referred to as CSOs) in Zaporizhzhia, Mykolaiv and Kherson Regions"</w:t>
      </w:r>
      <w:r w:rsidDel="00000000" w:rsidR="00000000" w:rsidRPr="00000000">
        <w:rPr>
          <w:rFonts w:ascii="Times New Roman" w:cs="Times New Roman" w:eastAsia="Times New Roman" w:hAnsi="Times New Roman"/>
          <w:sz w:val="22"/>
          <w:szCs w:val="22"/>
          <w:rtl w:val="0"/>
        </w:rPr>
        <w:t xml:space="preserve">, which is being implemented within the framework of the multi-donor project </w:t>
      </w:r>
      <w:r w:rsidDel="00000000" w:rsidR="00000000" w:rsidRPr="00000000">
        <w:rPr>
          <w:rFonts w:ascii="Times New Roman" w:cs="Times New Roman" w:eastAsia="Times New Roman" w:hAnsi="Times New Roman"/>
          <w:b w:val="1"/>
          <w:sz w:val="22"/>
          <w:szCs w:val="22"/>
          <w:rtl w:val="0"/>
        </w:rPr>
        <w:t xml:space="preserve">"Enhancing the Capacity of Communities in Southern and Eastern Ukraine through Local Initiatives (EMPOWER)</w:t>
      </w:r>
      <w:r w:rsidDel="00000000" w:rsidR="00000000" w:rsidRPr="00000000">
        <w:rPr>
          <w:rFonts w:ascii="Times New Roman" w:cs="Times New Roman" w:eastAsia="Times New Roman" w:hAnsi="Times New Roman"/>
          <w:sz w:val="22"/>
          <w:szCs w:val="22"/>
          <w:rtl w:val="0"/>
        </w:rPr>
        <w:t xml:space="preserve">", funded by the German Federal Ministry for Economic Cooperation and Development (BMZ) and co-financed by the Directorate-General for European Civil Defense and Humanitarian Aid and implemented by Deutsche Gesellschaft für Internationale (Zusammenarbeit (GIZ) GmbH.</w:t>
      </w:r>
    </w:p>
    <w:p w:rsidR="00000000" w:rsidDel="00000000" w:rsidP="00000000" w:rsidRDefault="00000000" w:rsidRPr="00000000" w14:paraId="00000006">
      <w:pPr>
        <w:widowControl w:val="0"/>
        <w:spacing w:after="20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project aims to strengthen the organizational capacity of CSOs working in the field of emergency response, with vulnerable populations, IDPs through mentoring and networking for sustainable and effective work.</w:t>
      </w:r>
    </w:p>
    <w:p w:rsidR="00000000" w:rsidDel="00000000" w:rsidP="00000000" w:rsidRDefault="00000000" w:rsidRPr="00000000" w14:paraId="00000007">
      <w:pPr>
        <w:widowControl w:val="0"/>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Vacant position: </w:t>
      </w:r>
      <w:r w:rsidDel="00000000" w:rsidR="00000000" w:rsidRPr="00000000">
        <w:rPr>
          <w:rFonts w:ascii="Times New Roman" w:cs="Times New Roman" w:eastAsia="Times New Roman" w:hAnsi="Times New Roman"/>
          <w:sz w:val="22"/>
          <w:szCs w:val="22"/>
          <w:rtl w:val="0"/>
        </w:rPr>
        <w:t xml:space="preserve">Project Monitoring and Evaluation Specialist (hereinafter referred to as the Specialist)  </w:t>
      </w:r>
    </w:p>
    <w:p w:rsidR="00000000" w:rsidDel="00000000" w:rsidP="00000000" w:rsidRDefault="00000000" w:rsidRPr="00000000" w14:paraId="00000008">
      <w:pPr>
        <w:spacing w:after="2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Service delivery format</w:t>
      </w:r>
      <w:r w:rsidDel="00000000" w:rsidR="00000000" w:rsidRPr="00000000">
        <w:rPr>
          <w:rFonts w:ascii="Times New Roman" w:cs="Times New Roman" w:eastAsia="Times New Roman" w:hAnsi="Times New Roman"/>
          <w:color w:val="000000"/>
          <w:sz w:val="22"/>
          <w:szCs w:val="22"/>
          <w:rtl w:val="0"/>
        </w:rPr>
        <w:t xml:space="preserve">: online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9">
      <w:pPr>
        <w:spacing w:after="200" w:line="24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rtl w:val="0"/>
        </w:rPr>
        <w:t xml:space="preserve">Start of </w:t>
      </w:r>
      <w:r w:rsidDel="00000000" w:rsidR="00000000" w:rsidRPr="00000000">
        <w:rPr>
          <w:rFonts w:ascii="Times New Roman" w:cs="Times New Roman" w:eastAsia="Times New Roman" w:hAnsi="Times New Roman"/>
          <w:b w:val="1"/>
          <w:color w:val="000000"/>
          <w:sz w:val="22"/>
          <w:szCs w:val="22"/>
          <w:rtl w:val="0"/>
        </w:rPr>
        <w:t xml:space="preserve">service provision</w:t>
      </w:r>
      <w:r w:rsidDel="00000000" w:rsidR="00000000" w:rsidRPr="00000000">
        <w:rPr>
          <w:rFonts w:ascii="Times New Roman" w:cs="Times New Roman" w:eastAsia="Times New Roman" w:hAnsi="Times New Roman"/>
          <w:b w:val="1"/>
          <w:color w:val="000000"/>
          <w:sz w:val="22"/>
          <w:szCs w:val="22"/>
          <w:highlight w:val="white"/>
          <w:rtl w:val="0"/>
        </w:rPr>
        <w:t xml:space="preserve">: </w:t>
      </w:r>
      <w:r w:rsidDel="00000000" w:rsidR="00000000" w:rsidRPr="00000000">
        <w:rPr>
          <w:rFonts w:ascii="Times New Roman" w:cs="Times New Roman" w:eastAsia="Times New Roman" w:hAnsi="Times New Roman"/>
          <w:sz w:val="22"/>
          <w:szCs w:val="22"/>
          <w:highlight w:val="white"/>
          <w:rtl w:val="0"/>
        </w:rPr>
        <w:t xml:space="preserve">March 2025-April 2026</w:t>
      </w:r>
    </w:p>
    <w:p w:rsidR="00000000" w:rsidDel="00000000" w:rsidP="00000000" w:rsidRDefault="00000000" w:rsidRPr="00000000" w14:paraId="0000000A">
      <w:pPr>
        <w:spacing w:after="2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Geography of project participants: </w:t>
      </w:r>
      <w:r w:rsidDel="00000000" w:rsidR="00000000" w:rsidRPr="00000000">
        <w:rPr>
          <w:rFonts w:ascii="Times New Roman" w:cs="Times New Roman" w:eastAsia="Times New Roman" w:hAnsi="Times New Roman"/>
          <w:sz w:val="22"/>
          <w:szCs w:val="22"/>
          <w:rtl w:val="0"/>
        </w:rPr>
        <w:t xml:space="preserve">Zaporizhzhia, Mykolaiv, Kherson and Dnipro regions.</w:t>
      </w:r>
    </w:p>
    <w:p w:rsidR="00000000" w:rsidDel="00000000" w:rsidP="00000000" w:rsidRDefault="00000000" w:rsidRPr="00000000" w14:paraId="0000000B">
      <w:pPr>
        <w:spacing w:after="2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Number of service providers: </w:t>
      </w:r>
      <w:r w:rsidDel="00000000" w:rsidR="00000000" w:rsidRPr="00000000">
        <w:rPr>
          <w:rFonts w:ascii="Times New Roman" w:cs="Times New Roman" w:eastAsia="Times New Roman" w:hAnsi="Times New Roman"/>
          <w:sz w:val="22"/>
          <w:szCs w:val="22"/>
          <w:rtl w:val="0"/>
        </w:rPr>
        <w:t xml:space="preserve">1 winner will be selected under this tender.</w:t>
      </w:r>
    </w:p>
    <w:p w:rsidR="00000000" w:rsidDel="00000000" w:rsidP="00000000" w:rsidRDefault="00000000" w:rsidRPr="00000000" w14:paraId="0000000C">
      <w:pPr>
        <w:spacing w:after="200" w:line="24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rtl w:val="0"/>
        </w:rPr>
        <w:t xml:space="preserve">Estimated involvement of the Specialist: </w:t>
      </w:r>
      <w:r w:rsidDel="00000000" w:rsidR="00000000" w:rsidRPr="00000000">
        <w:rPr>
          <w:rFonts w:ascii="Times New Roman" w:cs="Times New Roman" w:eastAsia="Times New Roman" w:hAnsi="Times New Roman"/>
          <w:sz w:val="22"/>
          <w:szCs w:val="22"/>
          <w:highlight w:val="white"/>
          <w:rtl w:val="0"/>
        </w:rPr>
        <w:t xml:space="preserve">from the date of signing the contract until </w:t>
      </w:r>
      <w:r w:rsidDel="00000000" w:rsidR="00000000" w:rsidRPr="00000000">
        <w:rPr>
          <w:rFonts w:ascii="Times New Roman" w:cs="Times New Roman" w:eastAsia="Times New Roman" w:hAnsi="Times New Roman"/>
          <w:sz w:val="22"/>
          <w:szCs w:val="22"/>
          <w:rtl w:val="0"/>
        </w:rPr>
        <w:t xml:space="preserve">April </w:t>
      </w:r>
      <w:r w:rsidDel="00000000" w:rsidR="00000000" w:rsidRPr="00000000">
        <w:rPr>
          <w:rFonts w:ascii="Times New Roman" w:cs="Times New Roman" w:eastAsia="Times New Roman" w:hAnsi="Times New Roman"/>
          <w:sz w:val="22"/>
          <w:szCs w:val="22"/>
          <w:highlight w:val="white"/>
          <w:rtl w:val="0"/>
        </w:rPr>
        <w:t xml:space="preserve">30, 2026. Engagement to complete agreed tasks — 260 working days of 8 hours each. (Which is equivalent to 2080 working hours)</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Terms of reference for the provision of services:</w:t>
      </w:r>
    </w:p>
    <w:p w:rsidR="00000000" w:rsidDel="00000000" w:rsidP="00000000" w:rsidRDefault="00000000" w:rsidRPr="00000000" w14:paraId="0000000E">
      <w:pPr>
        <w:spacing w:after="0" w:line="276" w:lineRule="auto"/>
        <w:ind w:left="720" w:firstLine="0"/>
        <w:rPr>
          <w:rFonts w:ascii="Times New Roman" w:cs="Times New Roman" w:eastAsia="Times New Roman" w:hAnsi="Times New Roman"/>
          <w:sz w:val="22"/>
          <w:szCs w:val="22"/>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220"/>
        <w:gridCol w:w="3270"/>
        <w:gridCol w:w="1650"/>
        <w:tblGridChange w:id="0">
          <w:tblGrid>
            <w:gridCol w:w="5220"/>
            <w:gridCol w:w="3270"/>
            <w:gridCol w:w="1650"/>
          </w:tblGrid>
        </w:tblGridChange>
      </w:tblGrid>
      <w:tr>
        <w:trPr>
          <w:cantSplit w:val="0"/>
          <w:trHeight w:val="782" w:hRule="atLeast"/>
          <w:tblHeader w:val="0"/>
        </w:trPr>
        <w:tc>
          <w:tcPr>
            <w:vAlign w:val="center"/>
          </w:tcPr>
          <w:p w:rsidR="00000000" w:rsidDel="00000000" w:rsidP="00000000" w:rsidRDefault="00000000" w:rsidRPr="00000000" w14:paraId="0000000F">
            <w:pPr>
              <w:widowControl w:val="0"/>
              <w:spacing w:after="20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Tasks and responsibilities of the engaged Specialist</w:t>
            </w:r>
          </w:p>
        </w:tc>
        <w:tc>
          <w:tcPr>
            <w:vAlign w:val="center"/>
          </w:tcPr>
          <w:p w:rsidR="00000000" w:rsidDel="00000000" w:rsidP="00000000" w:rsidRDefault="00000000" w:rsidRPr="00000000" w14:paraId="00000010">
            <w:pPr>
              <w:widowControl w:val="0"/>
              <w:spacing w:after="20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Result.</w:t>
            </w:r>
          </w:p>
        </w:tc>
        <w:tc>
          <w:tcPr>
            <w:vAlign w:val="center"/>
          </w:tcPr>
          <w:p w:rsidR="00000000" w:rsidDel="00000000" w:rsidP="00000000" w:rsidRDefault="00000000" w:rsidRPr="00000000" w14:paraId="00000011">
            <w:pPr>
              <w:widowControl w:val="0"/>
              <w:spacing w:after="20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Period of service provision</w:t>
            </w:r>
          </w:p>
        </w:tc>
      </w:tr>
      <w:tr>
        <w:trPr>
          <w:cantSplit w:val="0"/>
          <w:trHeight w:val="1355" w:hRule="atLeast"/>
          <w:tblHeader w:val="0"/>
        </w:trPr>
        <w:tc>
          <w:tcPr>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sz w:val="22"/>
                <w:szCs w:val="22"/>
                <w:rtl w:val="0"/>
              </w:rPr>
              <w:t xml:space="preserve">Develop and maintain monitoring tools to meet project needs</w:t>
            </w:r>
            <w:r w:rsidDel="00000000" w:rsidR="00000000" w:rsidRPr="00000000">
              <w:rPr>
                <w:rtl w:val="0"/>
              </w:rPr>
            </w:r>
          </w:p>
        </w:tc>
        <w:tc>
          <w:tcPr/>
          <w:p w:rsidR="00000000" w:rsidDel="00000000" w:rsidP="00000000" w:rsidRDefault="00000000" w:rsidRPr="00000000" w14:paraId="00000013">
            <w:pPr>
              <w:widowControl w:val="0"/>
              <w:spacing w:after="20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MEAL plan was created according to the Foundation's standards, and appropriate tools were developed (questionnaires, questionnaires in KOBO Collect)</w:t>
            </w:r>
          </w:p>
        </w:tc>
        <w:tc>
          <w:tcPr>
            <w:vAlign w:val="center"/>
          </w:tcPr>
          <w:p w:rsidR="00000000" w:rsidDel="00000000" w:rsidP="00000000" w:rsidRDefault="00000000" w:rsidRPr="00000000" w14:paraId="00000014">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the beginning of the contract until April 2026</w:t>
            </w:r>
          </w:p>
        </w:tc>
      </w:tr>
      <w:tr>
        <w:trPr>
          <w:cantSplit w:val="0"/>
          <w:trHeight w:val="1445" w:hRule="atLeast"/>
          <w:tblHeader w:val="0"/>
        </w:trPr>
        <w:tc>
          <w:tcP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 with project documentation and project coordination in terms of monitoring and evaluation, interaction with donor representatives on monitoring and evaluation issues</w:t>
            </w:r>
          </w:p>
        </w:tc>
        <w:tc>
          <w:tcPr/>
          <w:p w:rsidR="00000000" w:rsidDel="00000000" w:rsidP="00000000" w:rsidRDefault="00000000" w:rsidRPr="00000000" w14:paraId="00000016">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Measures prescribed in the MEAL plan are implemented on time</w:t>
            </w:r>
          </w:p>
        </w:tc>
        <w:tc>
          <w:tcPr>
            <w:vAlign w:val="center"/>
          </w:tcPr>
          <w:p w:rsidR="00000000" w:rsidDel="00000000" w:rsidP="00000000" w:rsidRDefault="00000000" w:rsidRPr="00000000" w14:paraId="00000017">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the beginning of the contract until April 2026</w:t>
            </w:r>
          </w:p>
        </w:tc>
      </w:tr>
      <w:tr>
        <w:trPr>
          <w:cantSplit w:val="0"/>
          <w:trHeight w:val="1933" w:hRule="atLeast"/>
          <w:tblHeader w:val="0"/>
        </w:trPr>
        <w:tc>
          <w:tcP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Ensure proper collection, tracking and management of secondary data</w:t>
            </w:r>
          </w:p>
        </w:tc>
        <w:tc>
          <w:tcPr/>
          <w:p w:rsidR="00000000" w:rsidDel="00000000" w:rsidP="00000000" w:rsidRDefault="00000000" w:rsidRPr="00000000" w14:paraId="00000019">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collection was completed within the agreed time frame</w:t>
            </w:r>
          </w:p>
        </w:tc>
        <w:tc>
          <w:tcPr>
            <w:vAlign w:val="center"/>
          </w:tcPr>
          <w:p w:rsidR="00000000" w:rsidDel="00000000" w:rsidP="00000000" w:rsidRDefault="00000000" w:rsidRPr="00000000" w14:paraId="0000001A">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the beginning of the contract until April 2026</w:t>
            </w:r>
          </w:p>
        </w:tc>
      </w:tr>
      <w:tr>
        <w:trPr>
          <w:cantSplit w:val="0"/>
          <w:trHeight w:val="1066" w:hRule="atLeast"/>
          <w:tblHeader w:val="0"/>
        </w:trPr>
        <w:tc>
          <w:tcPr>
            <w:vAlign w:val="cente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Manage and supervise teams of field data collectors (if necessary)</w:t>
            </w:r>
          </w:p>
        </w:tc>
        <w:tc>
          <w:tcPr/>
          <w:p w:rsidR="00000000" w:rsidDel="00000000" w:rsidP="00000000" w:rsidRDefault="00000000" w:rsidRPr="00000000" w14:paraId="0000001C">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collectors were briefed, data collection was completed within the agreed time frame</w:t>
            </w:r>
          </w:p>
        </w:tc>
        <w:tc>
          <w:tcPr>
            <w:vAlign w:val="center"/>
          </w:tcPr>
          <w:p w:rsidR="00000000" w:rsidDel="00000000" w:rsidP="00000000" w:rsidRDefault="00000000" w:rsidRPr="00000000" w14:paraId="0000001D">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the beginning of the contract until April 2026</w:t>
            </w:r>
          </w:p>
        </w:tc>
      </w:tr>
      <w:tr>
        <w:trPr>
          <w:cantSplit w:val="0"/>
          <w:trHeight w:val="1355" w:hRule="atLeast"/>
          <w:tblHeader w:val="0"/>
        </w:trPr>
        <w:tc>
          <w:tcPr>
            <w:vAlign w:val="cente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Assists in building organizational capacity to improve monitoring and evaluation standards and policies; promotes and informs colleagues of best practices</w:t>
            </w:r>
          </w:p>
        </w:tc>
        <w:tc>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lessons learned during the monitoring period were recorded and communicated to the team </w:t>
            </w:r>
          </w:p>
        </w:tc>
        <w:tc>
          <w:tcPr>
            <w:vAlign w:val="center"/>
          </w:tcPr>
          <w:p w:rsidR="00000000" w:rsidDel="00000000" w:rsidP="00000000" w:rsidRDefault="00000000" w:rsidRPr="00000000" w14:paraId="00000020">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the beginning of the contract until April 2026</w:t>
            </w:r>
          </w:p>
        </w:tc>
      </w:tr>
      <w:tr>
        <w:trPr>
          <w:cantSplit w:val="0"/>
          <w:trHeight w:val="1355" w:hRule="atLeast"/>
          <w:tblHeader w:val="0"/>
        </w:trPr>
        <w:tc>
          <w:tcPr>
            <w:vAlign w:val="cente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Preparation of recommendations on the development of monitoring and evaluation plans for the project's participating NGOs, upon request.</w:t>
            </w:r>
          </w:p>
        </w:tc>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Recommendations were prepared for the project's participating CSOs that requested consultations. An online webinar/meeting for clarification was held. </w:t>
            </w:r>
          </w:p>
        </w:tc>
        <w:tc>
          <w:tcPr>
            <w:vAlign w:val="center"/>
          </w:tcPr>
          <w:p w:rsidR="00000000" w:rsidDel="00000000" w:rsidP="00000000" w:rsidRDefault="00000000" w:rsidRPr="00000000" w14:paraId="00000023">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the beginning of the contract until April 2026</w:t>
            </w:r>
          </w:p>
        </w:tc>
      </w:tr>
      <w:tr>
        <w:trPr>
          <w:cantSplit w:val="0"/>
          <w:trHeight w:val="2790" w:hRule="atLeast"/>
          <w:tblHeader w:val="0"/>
        </w:trPr>
        <w:tc>
          <w:tcPr>
            <w:vAlign w:val="cente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final report on the results of the work done will be prepared, which will include recommendations for the implementation of the educational component of the Capacity Building Program for Local Organizations. The report should also contain references to all products and materials created under the project. </w:t>
            </w:r>
          </w:p>
        </w:tc>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Final report prepared</w:t>
            </w:r>
          </w:p>
        </w:tc>
        <w:tc>
          <w:tcPr>
            <w:vAlign w:val="center"/>
          </w:tcPr>
          <w:p w:rsidR="00000000" w:rsidDel="00000000" w:rsidP="00000000" w:rsidRDefault="00000000" w:rsidRPr="00000000" w14:paraId="00000026">
            <w:pPr>
              <w:widowControl w:val="0"/>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April 2026</w:t>
            </w:r>
          </w:p>
        </w:tc>
      </w:tr>
    </w:tbl>
    <w:p w:rsidR="00000000" w:rsidDel="00000000" w:rsidP="00000000" w:rsidRDefault="00000000" w:rsidRPr="00000000" w14:paraId="00000027">
      <w:pPr>
        <w:widowControl w:val="0"/>
        <w:spacing w:after="20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8">
      <w:pPr>
        <w:widowControl w:val="0"/>
        <w:spacing w:after="20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 Reporting </w:t>
      </w:r>
    </w:p>
    <w:p w:rsidR="00000000" w:rsidDel="00000000" w:rsidP="00000000" w:rsidRDefault="00000000" w:rsidRPr="00000000" w14:paraId="00000029">
      <w:pPr>
        <w:spacing w:after="2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Specialist submits timesheets, a descriptive report for each of the tasks provided, samples of the developed materials that became the basis for payment for the services provided, tables, registers and other products. All materials developed within the framework of the project are stored on the corporate disk.</w:t>
      </w:r>
    </w:p>
    <w:p w:rsidR="00000000" w:rsidDel="00000000" w:rsidP="00000000" w:rsidRDefault="00000000" w:rsidRPr="00000000" w14:paraId="0000002A">
      <w:pPr>
        <w:spacing w:after="2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Reports and all accompanying materials produced by the Specialist within the framework of the project are transferred to the Fund without copyright encumbrance.</w:t>
      </w:r>
    </w:p>
    <w:p w:rsidR="00000000" w:rsidDel="00000000" w:rsidP="00000000" w:rsidRDefault="00000000" w:rsidRPr="00000000" w14:paraId="0000002B">
      <w:pPr>
        <w:spacing w:after="2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report is submitted monthly or upon the fact of the provision of services.</w:t>
      </w:r>
    </w:p>
    <w:p w:rsidR="00000000" w:rsidDel="00000000" w:rsidP="00000000" w:rsidRDefault="00000000" w:rsidRPr="00000000" w14:paraId="0000002C">
      <w:pPr>
        <w:spacing w:after="20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3. Terms of cooperation</w:t>
      </w:r>
    </w:p>
    <w:p w:rsidR="00000000" w:rsidDel="00000000" w:rsidP="00000000" w:rsidRDefault="00000000" w:rsidRPr="00000000" w14:paraId="0000002E">
      <w:pPr>
        <w:spacing w:after="200" w:lineRule="auto"/>
        <w:ind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tenderer may be an individual entrepreneur, LLC or individual (in this case, cooperation under a CPC agreement is envisaged) who submits his proposal for participation in the tender. The contractor, in the context of this tender, is a person who will directly provide services in accordance with the terms of the tender documentation and the concluded contract.</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All payments are made exclusively in the national currency of Ukraine (hryvnia) by bank transfer to the current account of an individual or individual entrepreneur or legal entity - service provider within 7 business days from the date of approval of the timesheet and provision of the invoice.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The Fund shall have the right to accept or reject any proposal or cancel the tender at any time prior to the conclusion of the contract with the supplier and shall not be liable for the same.</w:t>
      </w:r>
    </w:p>
    <w:p w:rsidR="00000000" w:rsidDel="00000000" w:rsidP="00000000" w:rsidRDefault="00000000" w:rsidRPr="00000000" w14:paraId="00000031">
      <w:pPr>
        <w:spacing w:after="200" w:line="240" w:lineRule="auto"/>
        <w:ind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At any time, but no later than two (2) days before the deadline for submission of bids, the Tenderer may contact the Fund for clarifications or clarifications regarding the subject of procurement by sending a letter of request to the following email address: tender@r2p.org.ua.</w:t>
      </w:r>
      <w:r w:rsidDel="00000000" w:rsidR="00000000" w:rsidRPr="00000000">
        <w:rPr>
          <w:rtl w:val="0"/>
        </w:rPr>
      </w:r>
    </w:p>
    <w:p w:rsidR="00000000" w:rsidDel="00000000" w:rsidP="00000000" w:rsidRDefault="00000000" w:rsidRPr="00000000" w14:paraId="00000032">
      <w:pPr>
        <w:spacing w:after="200" w:line="240" w:lineRule="auto"/>
        <w:ind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333333"/>
          <w:sz w:val="22"/>
          <w:szCs w:val="22"/>
          <w:highlight w:val="white"/>
          <w:rtl w:val="0"/>
        </w:rPr>
        <w:t xml:space="preserve">ATTENTION! The Client reserves the right to change the scope of services! The scope of services is determined jointly with the project manager of the Right to Protection CF and is recorded in time sheets. The preliminary expected scope of services is set out in clause 1 of this tender announcement.</w:t>
      </w:r>
      <w:r w:rsidDel="00000000" w:rsidR="00000000" w:rsidRPr="00000000">
        <w:rPr>
          <w:rtl w:val="0"/>
        </w:rPr>
      </w:r>
    </w:p>
    <w:p w:rsidR="00000000" w:rsidDel="00000000" w:rsidP="00000000" w:rsidRDefault="00000000" w:rsidRPr="00000000" w14:paraId="00000033">
      <w:pPr>
        <w:spacing w:after="200" w:line="240"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Taxes, duties or payments to the Government of Ukraine, the Government of the Federal Republic of Germany and/or the Governments of any other countries shall be paid by the Consultant in accordance with the amount received.</w:t>
      </w:r>
    </w:p>
    <w:p w:rsidR="00000000" w:rsidDel="00000000" w:rsidP="00000000" w:rsidRDefault="00000000" w:rsidRPr="00000000" w14:paraId="00000034">
      <w:pPr>
        <w:spacing w:after="20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sz w:val="22"/>
          <w:szCs w:val="22"/>
          <w:rtl w:val="0"/>
        </w:rPr>
        <w:t xml:space="preserve">Travel/accommodation expenses are reimbursed on the basis of </w:t>
      </w:r>
      <w:r w:rsidDel="00000000" w:rsidR="00000000" w:rsidRPr="00000000">
        <w:rPr>
          <w:rFonts w:ascii="Times New Roman" w:cs="Times New Roman" w:eastAsia="Times New Roman" w:hAnsi="Times New Roman"/>
          <w:sz w:val="22"/>
          <w:szCs w:val="22"/>
          <w:rtl w:val="0"/>
        </w:rPr>
        <w:t xml:space="preserve">duly executed and approved by the project manager supporting documents. Per diems are not paid.   </w:t>
      </w:r>
    </w:p>
    <w:p w:rsidR="00000000" w:rsidDel="00000000" w:rsidP="00000000" w:rsidRDefault="00000000" w:rsidRPr="00000000" w14:paraId="00000035">
      <w:pPr>
        <w:spacing w:after="240" w:before="240" w:line="240" w:lineRule="auto"/>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participant must not be on the sanctions lists of Ukraine, the EU, the USA, Canada, Japan, and the UK.</w:t>
      </w:r>
      <w:r w:rsidDel="00000000" w:rsidR="00000000" w:rsidRPr="00000000">
        <w:rPr>
          <w:rtl w:val="0"/>
        </w:rPr>
      </w:r>
    </w:p>
    <w:p w:rsidR="00000000" w:rsidDel="00000000" w:rsidP="00000000" w:rsidRDefault="00000000" w:rsidRPr="00000000" w14:paraId="00000036">
      <w:pPr>
        <w:spacing w:after="240" w:before="240" w:line="240"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If the participant is a legal entity or individual entrepreneur, then it must not be in the process of terminating its activities.</w:t>
      </w:r>
      <w:r w:rsidDel="00000000" w:rsidR="00000000" w:rsidRPr="00000000">
        <w:rPr>
          <w:rtl w:val="0"/>
        </w:rPr>
      </w:r>
    </w:p>
    <w:p w:rsidR="00000000" w:rsidDel="00000000" w:rsidP="00000000" w:rsidRDefault="00000000" w:rsidRPr="00000000" w14:paraId="00000037">
      <w:pPr>
        <w:spacing w:after="200" w:lineRule="auto"/>
        <w:ind w:firstLine="70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participant may not be a registered individual entrepreneur at the time of application submission, in which case cooperation under a CPC agreement is considered.</w:t>
      </w:r>
    </w:p>
    <w:p w:rsidR="00000000" w:rsidDel="00000000" w:rsidP="00000000" w:rsidRDefault="00000000" w:rsidRPr="00000000" w14:paraId="00000038">
      <w:pPr>
        <w:spacing w:after="200" w:lineRule="auto"/>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spacing w:after="200" w:line="276" w:lineRule="auto"/>
        <w:jc w:val="both"/>
        <w:rPr>
          <w:rFonts w:ascii="Times New Roman" w:cs="Times New Roman" w:eastAsia="Times New Roman" w:hAnsi="Times New Roman"/>
          <w:b w:val="1"/>
          <w:sz w:val="22"/>
          <w:szCs w:val="22"/>
        </w:rPr>
      </w:pPr>
      <w:bookmarkStart w:colFirst="0" w:colLast="0" w:name="_heading=h.30j0zll" w:id="0"/>
      <w:bookmarkEnd w:id="0"/>
      <w:r w:rsidDel="00000000" w:rsidR="00000000" w:rsidRPr="00000000">
        <w:rPr>
          <w:rFonts w:ascii="Times New Roman" w:cs="Times New Roman" w:eastAsia="Times New Roman" w:hAnsi="Times New Roman"/>
          <w:b w:val="1"/>
          <w:sz w:val="22"/>
          <w:szCs w:val="22"/>
          <w:rtl w:val="0"/>
        </w:rPr>
        <w:t xml:space="preserve">4. Requirements for submission of proposals</w:t>
      </w:r>
    </w:p>
    <w:p w:rsidR="00000000" w:rsidDel="00000000" w:rsidP="00000000" w:rsidRDefault="00000000" w:rsidRPr="00000000" w14:paraId="0000003A">
      <w:pPr>
        <w:spacing w:after="20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rtl w:val="0"/>
        </w:rPr>
        <w:t xml:space="preserve">The proposal must be written in </w:t>
      </w:r>
      <w:r w:rsidDel="00000000" w:rsidR="00000000" w:rsidRPr="00000000">
        <w:rPr>
          <w:rFonts w:ascii="Times New Roman" w:cs="Times New Roman" w:eastAsia="Times New Roman" w:hAnsi="Times New Roman"/>
          <w:b w:val="1"/>
          <w:sz w:val="22"/>
          <w:szCs w:val="22"/>
          <w:highlight w:val="white"/>
          <w:u w:val="single"/>
          <w:rtl w:val="0"/>
        </w:rPr>
        <w:t xml:space="preserve">Ukrainian</w:t>
      </w:r>
      <w:r w:rsidDel="00000000" w:rsidR="00000000" w:rsidRPr="00000000">
        <w:rPr>
          <w:rFonts w:ascii="Times New Roman" w:cs="Times New Roman" w:eastAsia="Times New Roman" w:hAnsi="Times New Roman"/>
          <w:sz w:val="22"/>
          <w:szCs w:val="22"/>
          <w:highlight w:val="white"/>
          <w:rtl w:val="0"/>
        </w:rPr>
        <w:t xml:space="preserve">. </w:t>
      </w:r>
    </w:p>
    <w:p w:rsidR="00000000" w:rsidDel="00000000" w:rsidP="00000000" w:rsidRDefault="00000000" w:rsidRPr="00000000" w14:paraId="0000003B">
      <w:pPr>
        <w:widowControl w:val="0"/>
        <w:spacing w:after="200" w:lineRule="auto"/>
        <w:jc w:val="both"/>
        <w:rPr>
          <w:rFonts w:ascii="Times New Roman" w:cs="Times New Roman" w:eastAsia="Times New Roman" w:hAnsi="Times New Roman"/>
          <w:sz w:val="22"/>
          <w:szCs w:val="22"/>
        </w:rPr>
      </w:pPr>
      <w:bookmarkStart w:colFirst="0" w:colLast="0" w:name="_heading=h.gjdgxs" w:id="1"/>
      <w:bookmarkEnd w:id="1"/>
      <w:r w:rsidDel="00000000" w:rsidR="00000000" w:rsidRPr="00000000">
        <w:rPr>
          <w:rFonts w:ascii="Times New Roman" w:cs="Times New Roman" w:eastAsia="Times New Roman" w:hAnsi="Times New Roman"/>
          <w:sz w:val="22"/>
          <w:szCs w:val="22"/>
          <w:rtl w:val="0"/>
        </w:rPr>
        <w:t xml:space="preserve">Please provide the following package of documents, which will include::</w:t>
      </w:r>
    </w:p>
    <w:p w:rsidR="00000000" w:rsidDel="00000000" w:rsidP="00000000" w:rsidRDefault="00000000" w:rsidRPr="00000000" w14:paraId="0000003C">
      <w:pPr>
        <w:widowControl w:val="0"/>
        <w:numPr>
          <w:ilvl w:val="0"/>
          <w:numId w:val="2"/>
        </w:numPr>
        <w:spacing w:after="20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information of the artist;</w:t>
      </w:r>
    </w:p>
    <w:p w:rsidR="00000000" w:rsidDel="00000000" w:rsidP="00000000" w:rsidRDefault="00000000" w:rsidRPr="00000000" w14:paraId="0000003D">
      <w:pPr>
        <w:widowControl w:val="0"/>
        <w:numPr>
          <w:ilvl w:val="0"/>
          <w:numId w:val="2"/>
        </w:numPr>
        <w:spacing w:after="20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CV with a detailed description of relevant experience over the last 3 years. Please provide details of projects in which you provided monitoring and evaluation services, what tools were used, what was evaluated, what reports were prepared, etc. Please include information on experience in the public sector; experience in developing project evaluation methodologies and conducting monitoring, preparing reports;</w:t>
      </w:r>
    </w:p>
    <w:p w:rsidR="00000000" w:rsidDel="00000000" w:rsidP="00000000" w:rsidRDefault="00000000" w:rsidRPr="00000000" w14:paraId="0000003E">
      <w:pPr>
        <w:widowControl w:val="0"/>
        <w:numPr>
          <w:ilvl w:val="0"/>
          <w:numId w:val="2"/>
        </w:numPr>
        <w:spacing w:after="20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Letters of recommendation, letters of appreciation from CSOs, businesses, or government agencies that are relevant to the objectives of this project.</w:t>
      </w:r>
    </w:p>
    <w:p w:rsidR="00000000" w:rsidDel="00000000" w:rsidP="00000000" w:rsidRDefault="00000000" w:rsidRPr="00000000" w14:paraId="0000003F">
      <w:pPr>
        <w:widowControl w:val="0"/>
        <w:numPr>
          <w:ilvl w:val="0"/>
          <w:numId w:val="2"/>
        </w:numPr>
        <w:spacing w:after="20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Samples of developed documents (assessment methodologies, assessment reports, sample questionnaires, publications in professional publications, etc.).</w:t>
      </w:r>
    </w:p>
    <w:p w:rsidR="00000000" w:rsidDel="00000000" w:rsidP="00000000" w:rsidRDefault="00000000" w:rsidRPr="00000000" w14:paraId="00000040">
      <w:pPr>
        <w:keepNext w:val="1"/>
        <w:keepLines w:val="1"/>
        <w:numPr>
          <w:ilvl w:val="0"/>
          <w:numId w:val="2"/>
        </w:numPr>
        <w:pBdr>
          <w:top w:space="0" w:sz="0" w:val="nil"/>
          <w:left w:space="0" w:sz="0" w:val="nil"/>
          <w:bottom w:space="0" w:sz="0" w:val="nil"/>
          <w:right w:space="0" w:sz="0" w:val="nil"/>
          <w:between w:space="0" w:sz="0" w:val="nil"/>
        </w:pBdr>
        <w:spacing w:after="200" w:before="186" w:lineRule="auto"/>
        <w:ind w:left="72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Summarizing the results of the competition</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Evaluation of tender proposals will consist of 70% technical proposal evaluation and 30% price proposal evaluation.</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line="240" w:lineRule="auto"/>
        <w:ind w:left="0" w:firstLine="0"/>
        <w:jc w:val="both"/>
        <w:rPr>
          <w:rFonts w:ascii="Times New Roman" w:cs="Times New Roman" w:eastAsia="Times New Roman" w:hAnsi="Times New Roman"/>
          <w:sz w:val="22"/>
          <w:szCs w:val="22"/>
        </w:rPr>
      </w:pPr>
      <w:r w:rsidDel="00000000" w:rsidR="00000000" w:rsidRPr="00000000">
        <w:rPr>
          <w:rtl w:val="0"/>
        </w:rPr>
      </w:r>
    </w:p>
    <w:tbl>
      <w:tblPr>
        <w:tblStyle w:val="Table2"/>
        <w:tblW w:w="99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915"/>
        <w:gridCol w:w="4380"/>
        <w:gridCol w:w="1050"/>
        <w:tblGridChange w:id="0">
          <w:tblGrid>
            <w:gridCol w:w="630"/>
            <w:gridCol w:w="3915"/>
            <w:gridCol w:w="4380"/>
            <w:gridCol w:w="105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43">
            <w:pPr>
              <w:spacing w:after="20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SRATING SCALE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7">
            <w:pPr>
              <w:spacing w:after="200" w:lineRule="auto"/>
              <w:jc w:val="both"/>
              <w:rPr>
                <w:rFonts w:ascii="Times New Roman" w:cs="Times New Roman" w:eastAsia="Times New Roman" w:hAnsi="Times New Roman"/>
                <w:sz w:val="22"/>
                <w:szCs w:val="22"/>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8">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Criteria</w:t>
            </w:r>
          </w:p>
        </w:tc>
        <w:tc>
          <w:tcPr>
            <w:shd w:fill="dbe5f1" w:val="clear"/>
            <w:vAlign w:val="center"/>
          </w:tcPr>
          <w:p w:rsidR="00000000" w:rsidDel="00000000" w:rsidP="00000000" w:rsidRDefault="00000000" w:rsidRPr="00000000" w14:paraId="00000049">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EVALUATION METHODOLOGY</w:t>
            </w:r>
          </w:p>
        </w:tc>
        <w:tc>
          <w:tcPr>
            <w:shd w:fill="dbe5f1" w:val="clear"/>
            <w:tcMar>
              <w:top w:w="0.0" w:type="dxa"/>
              <w:left w:w="45.0" w:type="dxa"/>
              <w:bottom w:w="0.0" w:type="dxa"/>
              <w:right w:w="45.0" w:type="dxa"/>
            </w:tcMar>
            <w:vAlign w:val="center"/>
          </w:tcPr>
          <w:p w:rsidR="00000000" w:rsidDel="00000000" w:rsidP="00000000" w:rsidRDefault="00000000" w:rsidRPr="00000000" w14:paraId="0000004A">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Maximum number of points</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4B">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contractor must have a higher education.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Under the best and acceptable scenario, the Contractor is expected to have at least a bachelor's degree in sociology, management, non-profit organization management, public administration, pedagogy, law or other humanities, finance, economics. </w:t>
              <w:br w:type="textWrapping"/>
            </w:r>
          </w:p>
        </w:tc>
        <w:tc>
          <w:tcPr>
            <w:vAlign w:val="center"/>
          </w:tcPr>
          <w:p w:rsidR="00000000" w:rsidDel="00000000" w:rsidP="00000000" w:rsidRDefault="00000000" w:rsidRPr="00000000" w14:paraId="0000004E">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 points: Doctor of Science (Dr.hab), PhD in sociology, management, non-profit organization management, public administration, pedagogy, law or other humanities, finance, economics.</w:t>
              <w:br w:type="textWrapping"/>
              <w:t xml:space="preserve"> 2 points: Master's Degree, Specialist in the above areas.</w:t>
              <w:br w:type="textWrapping"/>
              <w:t xml:space="preserve"> 1 point: Bachelor's degree in the above areas.</w:t>
              <w:br w:type="textWrapping"/>
              <w:t xml:space="preserve"> 0 points: Absence of higher education OR information on education or copies of diplomas are not provided OR the Contractor's education is completely irrelevant to the Customer's requirements.</w:t>
            </w:r>
          </w:p>
        </w:tc>
        <w:tc>
          <w:tcPr>
            <w:tcMar>
              <w:top w:w="0.0" w:type="dxa"/>
              <w:left w:w="45.0" w:type="dxa"/>
              <w:bottom w:w="0.0" w:type="dxa"/>
              <w:right w:w="45.0" w:type="dxa"/>
            </w:tcMar>
            <w:vAlign w:val="center"/>
          </w:tcPr>
          <w:p w:rsidR="00000000" w:rsidDel="00000000" w:rsidP="00000000" w:rsidRDefault="00000000" w:rsidRPr="00000000" w14:paraId="0000004F">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9</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0">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Bidder shall provide a detailed resume of the Contractor. The content of the resume is evaluated, indicating the experience, skills, availability of developed methodological materials and achievements in the field of project implementation</w:t>
            </w:r>
          </w:p>
        </w:tc>
        <w:tc>
          <w:tcPr/>
          <w:p w:rsidR="00000000" w:rsidDel="00000000" w:rsidP="00000000" w:rsidRDefault="00000000" w:rsidRPr="00000000" w14:paraId="00000052">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 points: Demonstration of comprehensive information in the key areas and objectives of the project, including a detailed description of the authority, skills, achievements, organized and conducted monitoring and evaluation activities. The resume is up-to-date and contains information on the specialist's activities for at least the last 3 years.</w:t>
              <w:br w:type="textWrapping"/>
              <w:br w:type="textWrapping"/>
              <w:t xml:space="preserve"> 2 points: Demonstration of generalized information in key areas and tasks of the project. Work experience, key areas of performance are indicated without additional details on skills, achievements or best practices. The resume is up-to-date and contains information about the specialist's activities for at least the last 3 years.</w:t>
              <w:br w:type="textWrapping"/>
              <w:br w:type="textWrapping"/>
              <w:t xml:space="preserve"> 1 point: The resume is provided with no relevant experience for the last 3 years in the areas and tasks of the project, but reflects the existing previous experience of the contractor in performing similar tasks.</w:t>
              <w:br w:type="textWrapping"/>
              <w:br w:type="textWrapping"/>
              <w:t xml:space="preserve"> 0 points: No resume or experience is not relevant to the scope and objectives of the project.</w:t>
            </w:r>
          </w:p>
        </w:tc>
        <w:tc>
          <w:tcPr>
            <w:tcMar>
              <w:top w:w="0.0" w:type="dxa"/>
              <w:left w:w="45.0" w:type="dxa"/>
              <w:bottom w:w="0.0" w:type="dxa"/>
              <w:right w:w="45.0" w:type="dxa"/>
            </w:tcMar>
            <w:vAlign w:val="center"/>
          </w:tcPr>
          <w:p w:rsidR="00000000" w:rsidDel="00000000" w:rsidP="00000000" w:rsidRDefault="00000000" w:rsidRPr="00000000" w14:paraId="00000053">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4">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participant provided samples of the developed documents</w:t>
            </w:r>
          </w:p>
        </w:tc>
        <w:tc>
          <w:tcPr>
            <w:vAlign w:val="center"/>
          </w:tcPr>
          <w:p w:rsidR="00000000" w:rsidDel="00000000" w:rsidP="00000000" w:rsidRDefault="00000000" w:rsidRPr="00000000" w14:paraId="00000056">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 points: the participant provided samples of his/her work (assessment methods, assessment reports, examples of questionnaires, publications in professional publications, etc.). The materials reflect the level of mastery of the topic and demonstrate the candidate's knowledge, skills and abilities to perform the stated work.</w:t>
            </w:r>
          </w:p>
          <w:p w:rsidR="00000000" w:rsidDel="00000000" w:rsidP="00000000" w:rsidRDefault="00000000" w:rsidRPr="00000000" w14:paraId="00000057">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 points - the participant provided samples of his/her work, however, it is not clear from these materials whether they directly relate to the stated topic, or they do not provide an understanding of the candidate's knowledge, skills and abilities to create finished products on the topic.</w:t>
            </w:r>
          </w:p>
          <w:p w:rsidR="00000000" w:rsidDel="00000000" w:rsidP="00000000" w:rsidRDefault="00000000" w:rsidRPr="00000000" w14:paraId="00000058">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 points - the participant did not provide materials (in particular, positioning that the materials were developed for other organizations and are not subject to distribution), or the materials provided are not relevant, or do not provide an understanding of the candidate's knowledge, skills and abilities on the topic.</w:t>
            </w:r>
          </w:p>
          <w:p w:rsidR="00000000" w:rsidDel="00000000" w:rsidP="00000000" w:rsidRDefault="00000000" w:rsidRPr="00000000" w14:paraId="00000059">
            <w:pPr>
              <w:spacing w:after="200" w:lineRule="auto"/>
              <w:rPr>
                <w:rFonts w:ascii="Times New Roman" w:cs="Times New Roman" w:eastAsia="Times New Roman" w:hAnsi="Times New Roman"/>
                <w:sz w:val="22"/>
                <w:szCs w:val="22"/>
                <w:highlight w:val="yellow"/>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5A">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B">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rtl w:val="0"/>
              </w:rPr>
              <w:t xml:space="preserve">Participant has experience in the public </w:t>
            </w:r>
            <w:r w:rsidDel="00000000" w:rsidR="00000000" w:rsidRPr="00000000">
              <w:rPr>
                <w:rFonts w:ascii="Times New Roman" w:cs="Times New Roman" w:eastAsia="Times New Roman" w:hAnsi="Times New Roman"/>
                <w:sz w:val="22"/>
                <w:szCs w:val="22"/>
                <w:highlight w:val="white"/>
                <w:rtl w:val="0"/>
              </w:rPr>
              <w:t xml:space="preserve">sector as a specialist in project monitoring and evaluation</w:t>
            </w:r>
          </w:p>
        </w:tc>
        <w:tc>
          <w:tcPr>
            <w:vAlign w:val="center"/>
          </w:tcPr>
          <w:p w:rsidR="00000000" w:rsidDel="00000000" w:rsidP="00000000" w:rsidRDefault="00000000" w:rsidRPr="00000000" w14:paraId="0000005D">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points - the participant has more than 3 years of experience in the public sector as a project monitoring and evaluation specialist. </w:t>
            </w:r>
          </w:p>
          <w:p w:rsidR="00000000" w:rsidDel="00000000" w:rsidP="00000000" w:rsidRDefault="00000000" w:rsidRPr="00000000" w14:paraId="0000005E">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points - the participant has more than 2 years of experience in the public sector as a project monitoring and evaluation specialist.</w:t>
            </w:r>
          </w:p>
          <w:p w:rsidR="00000000" w:rsidDel="00000000" w:rsidP="00000000" w:rsidRDefault="00000000" w:rsidRPr="00000000" w14:paraId="0000005F">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 points - the participant did not work in/ with a CSO and did not hold the above positions.</w:t>
            </w:r>
          </w:p>
        </w:tc>
        <w:tc>
          <w:tcPr>
            <w:tcMar>
              <w:top w:w="0.0" w:type="dxa"/>
              <w:left w:w="45.0" w:type="dxa"/>
              <w:bottom w:w="0.0" w:type="dxa"/>
              <w:right w:w="45.0" w:type="dxa"/>
            </w:tcMar>
            <w:vAlign w:val="center"/>
          </w:tcPr>
          <w:p w:rsidR="00000000" w:rsidDel="00000000" w:rsidP="00000000" w:rsidRDefault="00000000" w:rsidRPr="00000000" w14:paraId="00000060">
            <w:pPr>
              <w:spacing w:after="200" w:lineRule="auto"/>
              <w:jc w:val="both"/>
              <w:rPr>
                <w:rFonts w:ascii="Times New Roman" w:cs="Times New Roman" w:eastAsia="Times New Roman" w:hAnsi="Times New Roman"/>
                <w:sz w:val="22"/>
                <w:szCs w:val="22"/>
              </w:rPr>
            </w:pPr>
            <w:bookmarkStart w:colFirst="0" w:colLast="0" w:name="_heading=h.1fob9te" w:id="2"/>
            <w:bookmarkEnd w:id="2"/>
            <w:r w:rsidDel="00000000" w:rsidR="00000000" w:rsidRPr="00000000">
              <w:rPr>
                <w:rFonts w:ascii="Times New Roman" w:cs="Times New Roman" w:eastAsia="Times New Roman" w:hAnsi="Times New Roman"/>
                <w:sz w:val="22"/>
                <w:szCs w:val="22"/>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1">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participant has experience in developing project evaluation methodologies and monitoring, as well as preparing evaluation reports.</w:t>
            </w:r>
          </w:p>
        </w:tc>
        <w:tc>
          <w:tcPr>
            <w:vAlign w:val="center"/>
          </w:tcPr>
          <w:p w:rsidR="00000000" w:rsidDel="00000000" w:rsidP="00000000" w:rsidRDefault="00000000" w:rsidRPr="00000000" w14:paraId="00000063">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points - the participant has experience in developing project evaluation methodologies and monitoring, preparing evaluation reports </w:t>
            </w:r>
          </w:p>
          <w:p w:rsidR="00000000" w:rsidDel="00000000" w:rsidP="00000000" w:rsidRDefault="00000000" w:rsidRPr="00000000" w14:paraId="00000064">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points - the participant has experience with monitoring tools, but does not have experience in developing an assessment methodology and generating a report. </w:t>
            </w:r>
          </w:p>
          <w:p w:rsidR="00000000" w:rsidDel="00000000" w:rsidP="00000000" w:rsidRDefault="00000000" w:rsidRPr="00000000" w14:paraId="00000065">
            <w:pPr>
              <w:spacing w:after="2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 points - the participant has no experience in developing methodological materials on the topic.</w:t>
            </w:r>
          </w:p>
        </w:tc>
        <w:tc>
          <w:tcPr>
            <w:tcMar>
              <w:top w:w="0.0" w:type="dxa"/>
              <w:left w:w="45.0" w:type="dxa"/>
              <w:bottom w:w="0.0" w:type="dxa"/>
              <w:right w:w="45.0" w:type="dxa"/>
            </w:tcMar>
            <w:vAlign w:val="center"/>
          </w:tcPr>
          <w:p w:rsidR="00000000" w:rsidDel="00000000" w:rsidP="00000000" w:rsidRDefault="00000000" w:rsidRPr="00000000" w14:paraId="00000066">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r>
    </w:tbl>
    <w:p w:rsidR="00000000" w:rsidDel="00000000" w:rsidP="00000000" w:rsidRDefault="00000000" w:rsidRPr="00000000" w14:paraId="00000067">
      <w:pPr>
        <w:spacing w:after="200" w:lineRule="auto"/>
        <w:ind w:firstLine="360"/>
        <w:jc w:val="both"/>
        <w:rPr>
          <w:b w:val="1"/>
        </w:rPr>
      </w:pPr>
      <w:r w:rsidDel="00000000" w:rsidR="00000000" w:rsidRPr="00000000">
        <w:rPr>
          <w:rtl w:val="0"/>
        </w:rPr>
      </w:r>
    </w:p>
    <w:p w:rsidR="00000000" w:rsidDel="00000000" w:rsidP="00000000" w:rsidRDefault="00000000" w:rsidRPr="00000000" w14:paraId="00000068">
      <w:pPr>
        <w:spacing w:after="200" w:lineRule="auto"/>
        <w:jc w:val="both"/>
        <w:rPr/>
      </w:pPr>
      <w:r w:rsidDel="00000000" w:rsidR="00000000" w:rsidRPr="00000000">
        <w:rPr>
          <w:rtl w:val="0"/>
        </w:rPr>
      </w:r>
    </w:p>
    <w:p w:rsidR="00000000" w:rsidDel="00000000" w:rsidP="00000000" w:rsidRDefault="00000000" w:rsidRPr="00000000" w14:paraId="00000069">
      <w:pPr>
        <w:spacing w:after="200" w:lineRule="auto"/>
        <w:jc w:val="both"/>
        <w:rPr/>
      </w:pPr>
      <w:r w:rsidDel="00000000" w:rsidR="00000000" w:rsidRPr="00000000">
        <w:rPr>
          <w:rtl w:val="0"/>
        </w:rPr>
      </w:r>
    </w:p>
    <w:sectPr>
      <w:headerReference r:id="rId7" w:type="default"/>
      <w:footerReference r:id="rId8" w:type="default"/>
      <w:pgSz w:h="16838" w:w="11906" w:orient="portrait"/>
      <w:pgMar w:bottom="709" w:top="0" w:left="1134" w:right="85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Pr>
      <w:drawing>
        <wp:inline distB="0" distT="0" distL="0" distR="0">
          <wp:extent cx="1447800" cy="333375"/>
          <wp:effectExtent b="0" l="0" r="0" t="0"/>
          <wp:docPr descr="https://lh7-rt.googleusercontent.com/docsz/AD_4nXfhWNGIJNh7_VwSYIk5UtcKibTLuid6oP6TOhG25EAPa8bZo7TjU3Fwm_aSaqgVMTVJNtog_8__UK5wL5PiXdRs5HiWWXK0B_TLlVDCHAE68_7OmwjBECLQeP91fui1BnnKJK8B22HiYsJxFGYYcwY?key=SGg1eZCbWiQiigPRW0wDbmNa" id="8" name="image2.png"/>
          <a:graphic>
            <a:graphicData uri="http://schemas.openxmlformats.org/drawingml/2006/picture">
              <pic:pic>
                <pic:nvPicPr>
                  <pic:cNvPr descr="https://lh7-rt.googleusercontent.com/docsz/AD_4nXfhWNGIJNh7_VwSYIk5UtcKibTLuid6oP6TOhG25EAPa8bZo7TjU3Fwm_aSaqgVMTVJNtog_8__UK5wL5PiXdRs5HiWWXK0B_TLlVDCHAE68_7OmwjBECLQeP91fui1BnnKJK8B22HiYsJxFGYYcwY?key=SGg1eZCbWiQiigPRW0wDbmNa" id="0" name="image2.png"/>
                  <pic:cNvPicPr preferRelativeResize="0"/>
                </pic:nvPicPr>
                <pic:blipFill>
                  <a:blip r:embed="rId1"/>
                  <a:srcRect b="0" l="0" r="0" t="0"/>
                  <a:stretch>
                    <a:fillRect/>
                  </a:stretch>
                </pic:blipFill>
                <pic:spPr>
                  <a:xfrm>
                    <a:off x="0" y="0"/>
                    <a:ext cx="1447800" cy="3333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
        <w:szCs w:val="21"/>
        <w:u w:val="none"/>
        <w:shd w:fill="auto" w:val="clear"/>
        <w:vertAlign w:val="baseline"/>
      </w:rPr>
      <w:drawing>
        <wp:inline distB="0" distT="0" distL="0" distR="0">
          <wp:extent cx="785361" cy="587690"/>
          <wp:effectExtent b="0" l="0" r="0" t="0"/>
          <wp:docPr descr="https://lh7-rt.googleusercontent.com/docsz/AD_4nXf8k_n19vyWG2jSdxUUgGW_4cYsWu-feGLkgVJkyB-u7Jm5R1ABcQGe3F8E4Rd_BHLCRugbI5TggPaHEA51IJLNJcXiq8dPn-H-aOPhACwvwHQ0_SgEle3ZVo7BebiKos1eVu69VjoPggL8hX-qxQ?key=SGg1eZCbWiQiigPRW0wDbmNa" id="7" name="image1.png"/>
          <a:graphic>
            <a:graphicData uri="http://schemas.openxmlformats.org/drawingml/2006/picture">
              <pic:pic>
                <pic:nvPicPr>
                  <pic:cNvPr descr="https://lh7-rt.googleusercontent.com/docsz/AD_4nXf8k_n19vyWG2jSdxUUgGW_4cYsWu-feGLkgVJkyB-u7Jm5R1ABcQGe3F8E4Rd_BHLCRugbI5TggPaHEA51IJLNJcXiq8dPn-H-aOPhACwvwHQ0_SgEle3ZVo7BebiKos1eVu69VjoPggL8hX-qxQ?key=SGg1eZCbWiQiigPRW0wDbmNa" id="0" name="image1.png"/>
                  <pic:cNvPicPr preferRelativeResize="0"/>
                </pic:nvPicPr>
                <pic:blipFill>
                  <a:blip r:embed="rId2"/>
                  <a:srcRect b="0" l="0" r="0" t="0"/>
                  <a:stretch>
                    <a:fillRect/>
                  </a:stretch>
                </pic:blipFill>
                <pic:spPr>
                  <a:xfrm>
                    <a:off x="0" y="0"/>
                    <a:ext cx="785361" cy="58769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202124"/>
        <w:sz w:val="22"/>
        <w:szCs w:val="22"/>
        <w:highlight w:val="white"/>
        <w:u w:val="none"/>
        <w:vertAlign w:val="baseline"/>
      </w:rPr>
      <w:drawing>
        <wp:inline distB="0" distT="0" distL="0" distR="0">
          <wp:extent cx="5810250" cy="838200"/>
          <wp:effectExtent b="0" l="0" r="0" t="0"/>
          <wp:docPr descr="https://lh7-rt.googleusercontent.com/docsz/AD_4nXeZzyldN4Jg4W4pcbnSt_JdcW0UzkGLMo74Wkf1WVupHbRI8Mbtyy3kTNsNdDq_4KDxvV4XFQ6NzjYx9UYRw-iVkTtrU5zKmlKFehflpqRmUSWMDAU9J6ul2TStpCZ1eHM6DKiEyP5ek4slGe0XhsQ?key=SGg1eZCbWiQiigPRW0wDbmNa" id="6" name="image3.png"/>
          <a:graphic>
            <a:graphicData uri="http://schemas.openxmlformats.org/drawingml/2006/picture">
              <pic:pic>
                <pic:nvPicPr>
                  <pic:cNvPr descr="https://lh7-rt.googleusercontent.com/docsz/AD_4nXeZzyldN4Jg4W4pcbnSt_JdcW0UzkGLMo74Wkf1WVupHbRI8Mbtyy3kTNsNdDq_4KDxvV4XFQ6NzjYx9UYRw-iVkTtrU5zKmlKFehflpqRmUSWMDAU9J6ul2TStpCZ1eHM6DKiEyP5ek4slGe0XhsQ?key=SGg1eZCbWiQiigPRW0wDbmNa" id="0" name="image3.png"/>
                  <pic:cNvPicPr preferRelativeResize="0"/>
                </pic:nvPicPr>
                <pic:blipFill>
                  <a:blip r:embed="rId1"/>
                  <a:srcRect b="0" l="0" r="0" t="0"/>
                  <a:stretch>
                    <a:fillRect/>
                  </a:stretch>
                </pic:blipFill>
                <pic:spPr>
                  <a:xfrm>
                    <a:off x="0" y="0"/>
                    <a:ext cx="5810250" cy="838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5"/>
      <w:szCs w:val="45"/>
    </w:rPr>
  </w:style>
  <w:style w:type="paragraph" w:styleId="Heading2">
    <w:name w:val="heading 2"/>
    <w:basedOn w:val="Normal"/>
    <w:next w:val="Normal"/>
    <w:pPr>
      <w:keepNext w:val="1"/>
      <w:keepLines w:val="1"/>
      <w:spacing w:after="80" w:before="360" w:lineRule="auto"/>
    </w:pPr>
    <w:rPr>
      <w:b w:val="1"/>
      <w:sz w:val="34"/>
      <w:szCs w:val="34"/>
    </w:rPr>
  </w:style>
  <w:style w:type="paragraph" w:styleId="Heading3">
    <w:name w:val="heading 3"/>
    <w:basedOn w:val="Normal"/>
    <w:next w:val="Normal"/>
    <w:pPr>
      <w:keepNext w:val="1"/>
      <w:keepLines w:val="1"/>
      <w:spacing w:after="80" w:before="280" w:lineRule="auto"/>
    </w:pPr>
    <w:rPr>
      <w:b w:val="1"/>
      <w:sz w:val="26"/>
      <w:szCs w:val="26"/>
    </w:rPr>
  </w:style>
  <w:style w:type="paragraph" w:styleId="Heading4">
    <w:name w:val="heading 4"/>
    <w:basedOn w:val="Normal"/>
    <w:next w:val="Normal"/>
    <w:pPr>
      <w:keepNext w:val="1"/>
      <w:keepLines w:val="1"/>
      <w:spacing w:after="40" w:before="240" w:lineRule="auto"/>
    </w:pPr>
    <w:rPr>
      <w:b w:val="1"/>
      <w:sz w:val="22"/>
      <w:szCs w:val="22"/>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19"/>
      <w:szCs w:val="19"/>
    </w:rPr>
  </w:style>
  <w:style w:type="paragraph" w:styleId="Title">
    <w:name w:val="Title"/>
    <w:basedOn w:val="Normal"/>
    <w:next w:val="Normal"/>
    <w:pPr>
      <w:keepNext w:val="1"/>
      <w:keepLines w:val="1"/>
      <w:spacing w:after="120" w:before="480" w:lineRule="auto"/>
    </w:pPr>
    <w:rPr>
      <w:b w:val="1"/>
      <w:sz w:val="68"/>
      <w:szCs w:val="68"/>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5"/>
      <w:szCs w:val="45"/>
    </w:rPr>
  </w:style>
  <w:style w:type="paragraph" w:styleId="2">
    <w:name w:val="heading 2"/>
    <w:basedOn w:val="a"/>
    <w:next w:val="a"/>
    <w:uiPriority w:val="9"/>
    <w:semiHidden w:val="1"/>
    <w:unhideWhenUsed w:val="1"/>
    <w:qFormat w:val="1"/>
    <w:pPr>
      <w:keepNext w:val="1"/>
      <w:keepLines w:val="1"/>
      <w:spacing w:after="80" w:before="360"/>
      <w:outlineLvl w:val="1"/>
    </w:pPr>
    <w:rPr>
      <w:b w:val="1"/>
      <w:sz w:val="34"/>
      <w:szCs w:val="34"/>
    </w:rPr>
  </w:style>
  <w:style w:type="paragraph" w:styleId="3">
    <w:name w:val="heading 3"/>
    <w:basedOn w:val="a"/>
    <w:next w:val="a"/>
    <w:uiPriority w:val="9"/>
    <w:semiHidden w:val="1"/>
    <w:unhideWhenUsed w:val="1"/>
    <w:qFormat w:val="1"/>
    <w:pPr>
      <w:keepNext w:val="1"/>
      <w:keepLines w:val="1"/>
      <w:spacing w:after="80" w:before="280"/>
      <w:outlineLvl w:val="2"/>
    </w:pPr>
    <w:rPr>
      <w:b w:val="1"/>
      <w:sz w:val="26"/>
      <w:szCs w:val="26"/>
    </w:rPr>
  </w:style>
  <w:style w:type="paragraph" w:styleId="4">
    <w:name w:val="heading 4"/>
    <w:basedOn w:val="a"/>
    <w:next w:val="a"/>
    <w:uiPriority w:val="9"/>
    <w:semiHidden w:val="1"/>
    <w:unhideWhenUsed w:val="1"/>
    <w:qFormat w:val="1"/>
    <w:pPr>
      <w:keepNext w:val="1"/>
      <w:keepLines w:val="1"/>
      <w:spacing w:after="40" w:before="240"/>
      <w:outlineLvl w:val="3"/>
    </w:pPr>
    <w:rPr>
      <w:b w:val="1"/>
      <w:sz w:val="22"/>
      <w:szCs w:val="22"/>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19"/>
      <w:szCs w:val="19"/>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68"/>
      <w:szCs w:val="6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5"/>
      <w:szCs w:val="45"/>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19"/>
      <w:szCs w:val="19"/>
    </w:rPr>
  </w:style>
  <w:style w:type="character" w:styleId="a7" w:customStyle="1">
    <w:name w:val="Текст примітки Знак"/>
    <w:basedOn w:val="a0"/>
    <w:link w:val="a6"/>
    <w:uiPriority w:val="99"/>
    <w:rPr>
      <w:sz w:val="19"/>
      <w:szCs w:val="19"/>
    </w:rPr>
  </w:style>
  <w:style w:type="character" w:styleId="a8">
    <w:name w:val="annotation reference"/>
    <w:basedOn w:val="a0"/>
    <w:uiPriority w:val="99"/>
    <w:semiHidden w:val="1"/>
    <w:unhideWhenUsed w:val="1"/>
    <w:rPr>
      <w:sz w:val="15"/>
      <w:szCs w:val="15"/>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7"/>
      <w:szCs w:val="17"/>
    </w:rPr>
  </w:style>
  <w:style w:type="character" w:styleId="aa" w:customStyle="1">
    <w:name w:val="Текст у виносці Знак"/>
    <w:basedOn w:val="a0"/>
    <w:link w:val="a9"/>
    <w:uiPriority w:val="99"/>
    <w:semiHidden w:val="1"/>
    <w:rsid w:val="008114B2"/>
    <w:rPr>
      <w:rFonts w:ascii="Segoe UI" w:cs="Segoe UI" w:hAnsi="Segoe UI"/>
      <w:sz w:val="17"/>
      <w:szCs w:val="17"/>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2"/>
      <w:szCs w:val="22"/>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19"/>
      <w:szCs w:val="19"/>
    </w:rPr>
  </w:style>
  <w:style w:type="table" w:styleId="af1" w:customStyle="1">
    <w:basedOn w:val="TableNormal3"/>
    <w:tblPr>
      <w:tblStyleRowBandSize w:val="1"/>
      <w:tblStyleColBandSize w:val="1"/>
      <w:tblCellMar>
        <w:left w:w="115.0" w:type="dxa"/>
        <w:right w:w="115.0" w:type="dxa"/>
      </w:tblCellMar>
    </w:tblPr>
  </w:style>
  <w:style w:type="table" w:styleId="af2" w:customStyle="1">
    <w:basedOn w:val="TableNormal3"/>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3"/>
    <w:tblPr>
      <w:tblStyleRowBandSize w:val="1"/>
      <w:tblStyleColBandSize w:val="1"/>
      <w:tblCellMar>
        <w:left w:w="115.0" w:type="dxa"/>
        <w:right w:w="115.0" w:type="dxa"/>
      </w:tblCellMar>
    </w:tblPr>
  </w:style>
  <w:style w:type="table" w:styleId="af8" w:customStyle="1">
    <w:basedOn w:val="TableNormal3"/>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tblPr>
      <w:tblStyleRowBandSize w:val="1"/>
      <w:tblStyleColBandSize w:val="1"/>
      <w:tblCellMar>
        <w:left w:w="115.0" w:type="dxa"/>
        <w:right w:w="115.0" w:type="dxa"/>
      </w:tblCellMar>
    </w:tblPr>
  </w:style>
  <w:style w:type="table" w:styleId="afe" w:customStyle="1">
    <w:basedOn w:val="TableNormal2"/>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5"/>
      <w:szCs w:val="45"/>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hs5sOSM0axU/N/5ARDNwijcwA==">CgMxLjAyCWguMzBqMHpsbDIIaC5namRneHMyCWguMWZvYjl0ZTgAciExd0NLTUVHc3Vjd0VuRUlpU0t3ajN1N2FEbWNQa0l4dGY=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