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373" w:rsidRDefault="00050373"/>
    <w:p w:rsidR="00050373" w:rsidRDefault="008A1952">
      <w:pPr>
        <w:widowControl w:val="0"/>
        <w:spacing w:after="200" w:line="259" w:lineRule="auto"/>
        <w:ind w:firstLine="720"/>
        <w:jc w:val="center"/>
        <w:rPr>
          <w:rFonts w:ascii="Times New Roman" w:eastAsia="Times New Roman" w:hAnsi="Times New Roman" w:cs="Times New Roman"/>
          <w:b/>
        </w:rPr>
      </w:pPr>
      <w:r>
        <w:rPr>
          <w:rFonts w:ascii="Times New Roman" w:eastAsia="Times New Roman" w:hAnsi="Times New Roman" w:cs="Times New Roman"/>
          <w:b/>
        </w:rPr>
        <w:t>Technical specifications for the procurement of</w:t>
      </w:r>
    </w:p>
    <w:p w:rsidR="00050373" w:rsidRDefault="008A1952">
      <w:pPr>
        <w:widowControl w:val="0"/>
        <w:spacing w:after="200" w:line="259" w:lineRule="auto"/>
        <w:ind w:firstLine="720"/>
        <w:jc w:val="center"/>
        <w:rPr>
          <w:rFonts w:ascii="Times New Roman" w:eastAsia="Times New Roman" w:hAnsi="Times New Roman" w:cs="Times New Roman"/>
          <w:b/>
        </w:rPr>
      </w:pPr>
      <w:r>
        <w:rPr>
          <w:rFonts w:ascii="Times New Roman" w:eastAsia="Times New Roman" w:hAnsi="Times New Roman" w:cs="Times New Roman"/>
          <w:b/>
        </w:rPr>
        <w:t>of mentoring support for organizational development for civil society organizations</w:t>
      </w:r>
    </w:p>
    <w:p w:rsidR="00050373" w:rsidRDefault="008A1952">
      <w:pPr>
        <w:widowControl w:val="0"/>
        <w:spacing w:after="200" w:line="259" w:lineRule="auto"/>
        <w:jc w:val="both"/>
        <w:rPr>
          <w:rFonts w:ascii="Times New Roman" w:eastAsia="Times New Roman" w:hAnsi="Times New Roman" w:cs="Times New Roman"/>
          <w:highlight w:val="yellow"/>
        </w:rPr>
      </w:pPr>
      <w:r>
        <w:rPr>
          <w:rFonts w:ascii="Times New Roman" w:eastAsia="Times New Roman" w:hAnsi="Times New Roman" w:cs="Times New Roman"/>
        </w:rPr>
        <w:t>The charitable organization CHARITABLE FOUNDATION "RIGHT TO PROTECTION" (hereinafter referred to as the Foundation) is implementing the project "Strengthening community capacity through localized actions and multisectoral emergency support in the southern and eastern regions of Ukraine," which is being carried out as part of the multi-donor project "Empowering War-Affected Communities in Ukraine through Local Initiatives (EMPOWER)", funded by the German Federal Ministry for Economic Cooperation and Development (BMZ) in cooperation with the European Commission's Directorate-General for Civil Protection and Humanitarian Aid and implemented by the German Society for International Cooperation (GIZ) GmbH</w:t>
      </w:r>
    </w:p>
    <w:p w:rsidR="00050373" w:rsidRDefault="008A1952">
      <w:pPr>
        <w:widowControl w:val="0"/>
        <w:spacing w:after="200" w:line="259" w:lineRule="auto"/>
        <w:jc w:val="both"/>
        <w:rPr>
          <w:rFonts w:ascii="Times New Roman" w:eastAsia="Times New Roman" w:hAnsi="Times New Roman" w:cs="Times New Roman"/>
        </w:rPr>
      </w:pPr>
      <w:r>
        <w:rPr>
          <w:rFonts w:ascii="Times New Roman" w:eastAsia="Times New Roman" w:hAnsi="Times New Roman" w:cs="Times New Roman"/>
        </w:rPr>
        <w:t>The project aims to strengthen the organizational capacity of CSOs working in the field of humanitarian response with vulnerable populations and IDPs through the implementation of mentoring and networking for sustainable and effective work.</w:t>
      </w:r>
    </w:p>
    <w:p w:rsidR="00050373" w:rsidRDefault="008A1952">
      <w:pPr>
        <w:widowControl w:val="0"/>
        <w:spacing w:after="20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Service being procured: </w:t>
      </w:r>
      <w:r>
        <w:rPr>
          <w:rFonts w:ascii="Times New Roman" w:eastAsia="Times New Roman" w:hAnsi="Times New Roman" w:cs="Times New Roman"/>
        </w:rPr>
        <w:t>mentoring support for the organizational development of civil society organizations (hereinafter referred to as CSOs)</w:t>
      </w:r>
      <w:r>
        <w:rPr>
          <w:color w:val="001D35"/>
          <w:sz w:val="24"/>
          <w:szCs w:val="24"/>
          <w:highlight w:val="white"/>
        </w:rPr>
        <w:t xml:space="preserve">.  </w:t>
      </w:r>
    </w:p>
    <w:p w:rsidR="00050373" w:rsidRDefault="008A1952">
      <w:pPr>
        <w:spacing w:after="200" w:line="240" w:lineRule="auto"/>
        <w:jc w:val="both"/>
        <w:rPr>
          <w:rFonts w:ascii="Times New Roman" w:eastAsia="Times New Roman" w:hAnsi="Times New Roman" w:cs="Times New Roman"/>
          <w:highlight w:val="white"/>
        </w:rPr>
      </w:pPr>
      <w:r>
        <w:rPr>
          <w:rFonts w:ascii="Times New Roman" w:eastAsia="Times New Roman" w:hAnsi="Times New Roman" w:cs="Times New Roman"/>
          <w:b/>
        </w:rPr>
        <w:t>Service delivery format</w:t>
      </w:r>
      <w:r>
        <w:rPr>
          <w:rFonts w:ascii="Times New Roman" w:eastAsia="Times New Roman" w:hAnsi="Times New Roman" w:cs="Times New Roman"/>
        </w:rPr>
        <w:t xml:space="preserve">: online, with the need for offline business trips. Business trips </w:t>
      </w:r>
      <w:r>
        <w:rPr>
          <w:rFonts w:ascii="Times New Roman" w:eastAsia="Times New Roman" w:hAnsi="Times New Roman" w:cs="Times New Roman"/>
          <w:color w:val="222222"/>
        </w:rPr>
        <w:t xml:space="preserve">are carried out taking into account the current security situation and in agreement with the security department of the Right to Protection Charitable Foundation in </w:t>
      </w:r>
      <w:r>
        <w:rPr>
          <w:rFonts w:ascii="Times New Roman" w:eastAsia="Times New Roman" w:hAnsi="Times New Roman" w:cs="Times New Roman"/>
          <w:color w:val="222222"/>
          <w:highlight w:val="white"/>
        </w:rPr>
        <w:t>the following regions: Zaporizhzhia, Mykolaiv, Kherson, Dnipropetrovsk, Kyiv, Odesa, Lviv, and Ivano-Frankivsk.</w:t>
      </w:r>
    </w:p>
    <w:p w:rsidR="00050373" w:rsidRDefault="008A1952">
      <w:pPr>
        <w:spacing w:after="200"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Period of service provision: </w:t>
      </w:r>
      <w:r>
        <w:rPr>
          <w:rFonts w:ascii="Times New Roman" w:eastAsia="Times New Roman" w:hAnsi="Times New Roman" w:cs="Times New Roman"/>
          <w:highlight w:val="white"/>
        </w:rPr>
        <w:t>November 2025 – June</w:t>
      </w:r>
      <w:r>
        <w:rPr>
          <w:rFonts w:ascii="Times New Roman" w:eastAsia="Times New Roman" w:hAnsi="Times New Roman" w:cs="Times New Roman"/>
        </w:rPr>
        <w:t xml:space="preserve"> 2026.  </w:t>
      </w:r>
    </w:p>
    <w:p w:rsidR="00050373" w:rsidRDefault="008A1952">
      <w:pPr>
        <w:spacing w:after="200" w:line="240" w:lineRule="auto"/>
        <w:jc w:val="both"/>
        <w:rPr>
          <w:rFonts w:ascii="Times New Roman" w:eastAsia="Times New Roman" w:hAnsi="Times New Roman" w:cs="Times New Roman"/>
          <w:highlight w:val="white"/>
        </w:rPr>
      </w:pPr>
      <w:r>
        <w:rPr>
          <w:rFonts w:ascii="Times New Roman" w:eastAsia="Times New Roman" w:hAnsi="Times New Roman" w:cs="Times New Roman"/>
          <w:b/>
        </w:rPr>
        <w:t xml:space="preserve">Geography of project participants: </w:t>
      </w:r>
      <w:r>
        <w:rPr>
          <w:rFonts w:ascii="Times New Roman" w:eastAsia="Times New Roman" w:hAnsi="Times New Roman" w:cs="Times New Roman"/>
          <w:highlight w:val="white"/>
        </w:rPr>
        <w:t>Zaporizhzhia, Mykolaiv, Kherson, Dnipropetrovsk, Odesa, Kyiv, Ivano-Frankivsk, and Lviv regions.</w:t>
      </w:r>
    </w:p>
    <w:p w:rsidR="006E182D" w:rsidRPr="006E182D" w:rsidRDefault="006E182D" w:rsidP="006E182D">
      <w:pPr>
        <w:pStyle w:val="a9"/>
        <w:rPr>
          <w:rFonts w:ascii="Times New Roman" w:hAnsi="Times New Roman" w:cs="Times New Roman"/>
          <w:highlight w:val="white"/>
        </w:rPr>
      </w:pPr>
      <w:bookmarkStart w:id="0" w:name="_GoBack"/>
      <w:bookmarkEnd w:id="0"/>
    </w:p>
    <w:p w:rsidR="00050373" w:rsidRDefault="008A1952">
      <w:p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Number of service providers: </w:t>
      </w:r>
      <w:r>
        <w:rPr>
          <w:rFonts w:ascii="Times New Roman" w:eastAsia="Times New Roman" w:hAnsi="Times New Roman" w:cs="Times New Roman"/>
        </w:rPr>
        <w:t>up to 6 winners will be selected within the framework of this tender.</w:t>
      </w:r>
    </w:p>
    <w:p w:rsidR="00050373" w:rsidRDefault="008A1952">
      <w:p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Workload per service provider: </w:t>
      </w:r>
      <w:r>
        <w:rPr>
          <w:rFonts w:ascii="Times New Roman" w:eastAsia="Times New Roman" w:hAnsi="Times New Roman" w:cs="Times New Roman"/>
        </w:rPr>
        <w:t xml:space="preserve">within the framework of the project, the service provider is expected to provide consulting and mentoring support to 5-6 (CSOs). </w:t>
      </w:r>
    </w:p>
    <w:p w:rsidR="00050373" w:rsidRDefault="008A1952">
      <w:pP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 provision of mentoring support involves online work and mandatory offline consultations with civil society organizations directly in the regions where they operate. The consultant is required to visit the CSOs' locations for face-to-face meetings to provide recommendations, as well as to hold networking events, exchange experiences, etc.</w:t>
      </w:r>
    </w:p>
    <w:p w:rsidR="00050373" w:rsidRDefault="008A1952">
      <w:p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Maximum involvement of one service provider: </w:t>
      </w:r>
      <w:r>
        <w:rPr>
          <w:rFonts w:ascii="Times New Roman" w:eastAsia="Times New Roman" w:hAnsi="Times New Roman" w:cs="Times New Roman"/>
        </w:rPr>
        <w:t xml:space="preserve">up to 189 calendar days, </w:t>
      </w:r>
      <w:r>
        <w:rPr>
          <w:rFonts w:ascii="Times New Roman" w:eastAsia="Times New Roman" w:hAnsi="Times New Roman" w:cs="Times New Roman"/>
          <w:highlight w:val="white"/>
        </w:rPr>
        <w:t>where 1 day shall not exceed 8 hours of working time</w:t>
      </w:r>
      <w:r w:rsidR="006E182D">
        <w:rPr>
          <w:rFonts w:ascii="Times New Roman" w:eastAsia="Times New Roman" w:hAnsi="Times New Roman" w:cs="Times New Roman"/>
          <w:highlight w:val="white"/>
          <w:lang w:val="uk-UA"/>
        </w:rPr>
        <w:t xml:space="preserve">, </w:t>
      </w:r>
      <w:r w:rsidR="006E182D" w:rsidRPr="006E182D">
        <w:rPr>
          <w:rFonts w:ascii="Times New Roman" w:eastAsia="Times New Roman" w:hAnsi="Times New Roman" w:cs="Times New Roman"/>
          <w:lang w:val="uk-UA"/>
        </w:rPr>
        <w:t>Estimated involvement 1512 hours.</w:t>
      </w:r>
      <w:r>
        <w:rPr>
          <w:rFonts w:ascii="Times New Roman" w:eastAsia="Times New Roman" w:hAnsi="Times New Roman" w:cs="Times New Roman"/>
          <w:highlight w:val="white"/>
        </w:rPr>
        <w:t xml:space="preserve"> </w:t>
      </w:r>
      <w:r>
        <w:rPr>
          <w:rFonts w:ascii="Times New Roman" w:eastAsia="Times New Roman" w:hAnsi="Times New Roman" w:cs="Times New Roman"/>
        </w:rPr>
        <w:t>Payment will be made upon provision of services in accordance with the report on the time spent on providing the service with hourly recording of task completion.</w:t>
      </w:r>
    </w:p>
    <w:p w:rsidR="00050373" w:rsidRDefault="008A195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I. Technical specifications of the service being procured (considered a preliminary estimate):</w:t>
      </w:r>
    </w:p>
    <w:p w:rsidR="00050373" w:rsidRDefault="00050373">
      <w:pPr>
        <w:spacing w:line="240" w:lineRule="auto"/>
        <w:jc w:val="both"/>
        <w:rPr>
          <w:rFonts w:ascii="Times New Roman" w:eastAsia="Times New Roman" w:hAnsi="Times New Roman" w:cs="Times New Roman"/>
          <w:b/>
        </w:rPr>
      </w:pPr>
    </w:p>
    <w:tbl>
      <w:tblPr>
        <w:tblStyle w:val="a7"/>
        <w:tblW w:w="9924" w:type="dxa"/>
        <w:tblInd w:w="-436" w:type="dxa"/>
        <w:tblLayout w:type="fixed"/>
        <w:tblLook w:val="0400" w:firstRow="0" w:lastRow="0" w:firstColumn="0" w:lastColumn="0" w:noHBand="0" w:noVBand="1"/>
      </w:tblPr>
      <w:tblGrid>
        <w:gridCol w:w="568"/>
        <w:gridCol w:w="4678"/>
        <w:gridCol w:w="1701"/>
        <w:gridCol w:w="1559"/>
        <w:gridCol w:w="1418"/>
      </w:tblGrid>
      <w:tr w:rsidR="00050373" w:rsidTr="006E182D">
        <w:trPr>
          <w:trHeight w:val="20"/>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46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 of activity</w:t>
            </w:r>
          </w:p>
        </w:tc>
        <w:tc>
          <w:tcPr>
            <w:tcW w:w="1701" w:type="dxa"/>
            <w:tcBorders>
              <w:top w:val="single" w:sz="8" w:space="0" w:color="000000"/>
              <w:left w:val="nil"/>
              <w:bottom w:val="nil"/>
              <w:right w:val="single" w:sz="8" w:space="0" w:color="000000"/>
            </w:tcBorders>
            <w:shd w:val="clear" w:color="auto" w:fill="auto"/>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days</w:t>
            </w:r>
          </w:p>
        </w:tc>
        <w:tc>
          <w:tcPr>
            <w:tcW w:w="1559" w:type="dxa"/>
            <w:tcBorders>
              <w:top w:val="single" w:sz="8" w:space="0" w:color="000000"/>
              <w:left w:val="nil"/>
              <w:bottom w:val="nil"/>
              <w:right w:val="single" w:sz="8" w:space="0" w:color="000000"/>
            </w:tcBorders>
            <w:shd w:val="clear" w:color="auto" w:fill="auto"/>
            <w:vAlign w:val="center"/>
          </w:tcPr>
          <w:p w:rsidR="00050373" w:rsidRDefault="00050373">
            <w:pPr>
              <w:spacing w:line="240" w:lineRule="auto"/>
              <w:jc w:val="both"/>
              <w:rPr>
                <w:rFonts w:ascii="Times New Roman" w:eastAsia="Times New Roman" w:hAnsi="Times New Roman" w:cs="Times New Roman"/>
                <w:b/>
                <w:sz w:val="20"/>
                <w:szCs w:val="20"/>
              </w:rPr>
            </w:pPr>
          </w:p>
        </w:tc>
        <w:tc>
          <w:tcPr>
            <w:tcW w:w="1418" w:type="dxa"/>
            <w:tcBorders>
              <w:top w:val="single" w:sz="8" w:space="0" w:color="000000"/>
              <w:left w:val="nil"/>
              <w:bottom w:val="nil"/>
              <w:right w:val="single" w:sz="8" w:space="0" w:color="000000"/>
            </w:tcBorders>
            <w:shd w:val="clear" w:color="auto" w:fill="auto"/>
            <w:vAlign w:val="center"/>
          </w:tcPr>
          <w:p w:rsidR="00050373" w:rsidRDefault="00050373">
            <w:pPr>
              <w:spacing w:line="240" w:lineRule="auto"/>
              <w:jc w:val="both"/>
              <w:rPr>
                <w:rFonts w:ascii="Times New Roman" w:eastAsia="Times New Roman" w:hAnsi="Times New Roman" w:cs="Times New Roman"/>
                <w:b/>
                <w:sz w:val="20"/>
                <w:szCs w:val="20"/>
              </w:rPr>
            </w:pPr>
          </w:p>
        </w:tc>
      </w:tr>
      <w:tr w:rsidR="00050373" w:rsidTr="006E182D">
        <w:trPr>
          <w:trHeight w:val="20"/>
        </w:trPr>
        <w:tc>
          <w:tcPr>
            <w:tcW w:w="5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50373" w:rsidRDefault="00050373">
            <w:pPr>
              <w:widowControl w:val="0"/>
              <w:pBdr>
                <w:top w:val="nil"/>
                <w:left w:val="nil"/>
                <w:bottom w:val="nil"/>
                <w:right w:val="nil"/>
                <w:between w:val="nil"/>
              </w:pBdr>
              <w:rPr>
                <w:rFonts w:ascii="Times New Roman" w:eastAsia="Times New Roman" w:hAnsi="Times New Roman" w:cs="Times New Roman"/>
                <w:b/>
                <w:sz w:val="20"/>
                <w:szCs w:val="20"/>
              </w:rPr>
            </w:pPr>
          </w:p>
        </w:tc>
        <w:tc>
          <w:tcPr>
            <w:tcW w:w="46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50373" w:rsidRDefault="00050373">
            <w:pPr>
              <w:widowControl w:val="0"/>
              <w:pBdr>
                <w:top w:val="nil"/>
                <w:left w:val="nil"/>
                <w:bottom w:val="nil"/>
                <w:right w:val="nil"/>
                <w:between w:val="nil"/>
              </w:pBdr>
              <w:rPr>
                <w:rFonts w:ascii="Times New Roman" w:eastAsia="Times New Roman" w:hAnsi="Times New Roman" w:cs="Times New Roman"/>
                <w:b/>
                <w:sz w:val="20"/>
                <w:szCs w:val="20"/>
              </w:rPr>
            </w:pPr>
          </w:p>
        </w:tc>
        <w:tc>
          <w:tcPr>
            <w:tcW w:w="1701" w:type="dxa"/>
            <w:tcBorders>
              <w:top w:val="nil"/>
              <w:left w:val="nil"/>
              <w:bottom w:val="single" w:sz="8" w:space="0" w:color="000000"/>
              <w:right w:val="single" w:sz="8" w:space="0" w:color="000000"/>
            </w:tcBorders>
            <w:shd w:val="clear" w:color="auto" w:fill="auto"/>
          </w:tcPr>
          <w:p w:rsidR="00050373" w:rsidRDefault="008A1952">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 1 OGS</w:t>
            </w:r>
          </w:p>
        </w:tc>
        <w:tc>
          <w:tcPr>
            <w:tcW w:w="1559" w:type="dxa"/>
            <w:tcBorders>
              <w:top w:val="nil"/>
              <w:left w:val="nil"/>
              <w:bottom w:val="single" w:sz="8" w:space="0" w:color="000000"/>
              <w:right w:val="single" w:sz="8" w:space="0" w:color="000000"/>
            </w:tcBorders>
            <w:shd w:val="clear" w:color="auto" w:fill="auto"/>
          </w:tcPr>
          <w:p w:rsidR="00050373" w:rsidRDefault="008A1952">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number of days, calculated per 1 supplier/5 OGS</w:t>
            </w:r>
          </w:p>
        </w:tc>
        <w:tc>
          <w:tcPr>
            <w:tcW w:w="1418" w:type="dxa"/>
            <w:tcBorders>
              <w:top w:val="nil"/>
              <w:left w:val="nil"/>
              <w:bottom w:val="single" w:sz="8" w:space="0" w:color="000000"/>
              <w:right w:val="single" w:sz="8" w:space="0" w:color="000000"/>
            </w:tcBorders>
            <w:shd w:val="clear" w:color="auto" w:fill="auto"/>
          </w:tcPr>
          <w:p w:rsidR="00050373" w:rsidRDefault="008A1952">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number of days, calculated per 1 supplier/6 OGS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Preparation for the mentoring interview (studying the methodology, familiarization with questionnaires, dashboard, collected data on CSOs)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 to 1 day </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Preparation of CSO folders, development and approval of mentoring interview schedules for the initial assessment of selected CSOs. Conducting mentoring interviews.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10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12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the collected information. Preparation of a mentoring report.</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of short- and long-term recommendations for CSO organizational development</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of a draft Action Plan to enhance the capacity of CSOs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of the draft Action Plan and its approval by the CSO leadership</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Provision of advisory assistance in the implementation of the agreed Action Plan (conducting consultations, drawing up meeting schedules, monitoring the preparation of documents, developing the necessary policies, strategies, recommendations, and other materials)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up to 10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up to 50 </w:t>
            </w:r>
            <w:r>
              <w:rPr>
                <w:rFonts w:ascii="Times New Roman" w:eastAsia="Times New Roman" w:hAnsi="Times New Roman" w:cs="Times New Roman"/>
                <w:sz w:val="20"/>
                <w:szCs w:val="20"/>
              </w:rPr>
              <w:t>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up to 60 </w:t>
            </w:r>
            <w:r>
              <w:rPr>
                <w:rFonts w:ascii="Times New Roman" w:eastAsia="Times New Roman" w:hAnsi="Times New Roman" w:cs="Times New Roman"/>
                <w:sz w:val="20"/>
                <w:szCs w:val="20"/>
              </w:rPr>
              <w:t>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Final assessment of CSOs based on the approved methodology</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collected information. Preparation of the final mentoring report</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Assistance in establishing networks of partner CSOs with potential partners among other CSOs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0"/>
        </w:trPr>
        <w:tc>
          <w:tcPr>
            <w:tcW w:w="5246" w:type="dxa"/>
            <w:gridSpan w:val="2"/>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20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100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120 days</w:t>
            </w:r>
          </w:p>
        </w:tc>
      </w:tr>
      <w:tr w:rsidR="00050373" w:rsidTr="006E182D">
        <w:trPr>
          <w:trHeight w:val="200"/>
        </w:trPr>
        <w:tc>
          <w:tcPr>
            <w:tcW w:w="5246" w:type="dxa"/>
            <w:gridSpan w:val="2"/>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Additional tasks</w:t>
            </w:r>
          </w:p>
        </w:tc>
        <w:tc>
          <w:tcPr>
            <w:tcW w:w="1701" w:type="dxa"/>
            <w:tcBorders>
              <w:top w:val="nil"/>
              <w:left w:val="nil"/>
              <w:bottom w:val="single" w:sz="8" w:space="0" w:color="000000"/>
              <w:right w:val="single" w:sz="8" w:space="0" w:color="000000"/>
            </w:tcBorders>
            <w:shd w:val="clear" w:color="auto" w:fill="FFFFFF"/>
            <w:vAlign w:val="center"/>
          </w:tcPr>
          <w:p w:rsidR="00050373" w:rsidRDefault="00050373">
            <w:pPr>
              <w:spacing w:line="240" w:lineRule="auto"/>
              <w:jc w:val="both"/>
              <w:rPr>
                <w:rFonts w:ascii="Times New Roman" w:eastAsia="Times New Roman" w:hAnsi="Times New Roman" w:cs="Times New Roman"/>
                <w:sz w:val="20"/>
                <w:szCs w:val="20"/>
              </w:rPr>
            </w:pPr>
          </w:p>
        </w:tc>
        <w:tc>
          <w:tcPr>
            <w:tcW w:w="1559" w:type="dxa"/>
            <w:tcBorders>
              <w:top w:val="nil"/>
              <w:left w:val="nil"/>
              <w:bottom w:val="single" w:sz="8" w:space="0" w:color="000000"/>
              <w:right w:val="single" w:sz="8" w:space="0" w:color="000000"/>
            </w:tcBorders>
            <w:shd w:val="clear" w:color="auto" w:fill="FFFFFF"/>
            <w:vAlign w:val="center"/>
          </w:tcPr>
          <w:p w:rsidR="00050373" w:rsidRDefault="00050373">
            <w:pPr>
              <w:spacing w:line="240" w:lineRule="auto"/>
              <w:jc w:val="both"/>
              <w:rPr>
                <w:rFonts w:ascii="Times New Roman" w:eastAsia="Times New Roman" w:hAnsi="Times New Roman" w:cs="Times New Roman"/>
                <w:sz w:val="20"/>
                <w:szCs w:val="20"/>
              </w:rPr>
            </w:pPr>
          </w:p>
        </w:tc>
        <w:tc>
          <w:tcPr>
            <w:tcW w:w="1418" w:type="dxa"/>
            <w:tcBorders>
              <w:top w:val="nil"/>
              <w:left w:val="nil"/>
              <w:bottom w:val="single" w:sz="8" w:space="0" w:color="000000"/>
              <w:right w:val="single" w:sz="8" w:space="0" w:color="000000"/>
            </w:tcBorders>
            <w:shd w:val="clear" w:color="auto" w:fill="FFFFFF"/>
            <w:vAlign w:val="center"/>
          </w:tcPr>
          <w:p w:rsidR="00050373" w:rsidRDefault="00050373">
            <w:pPr>
              <w:spacing w:line="240" w:lineRule="auto"/>
              <w:jc w:val="both"/>
              <w:rPr>
                <w:rFonts w:ascii="Times New Roman" w:eastAsia="Times New Roman" w:hAnsi="Times New Roman" w:cs="Times New Roman"/>
                <w:sz w:val="20"/>
                <w:szCs w:val="20"/>
              </w:rPr>
            </w:pP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in a joint event of partners from 6 regions (moderation of thematic sessions, presentation of interim project results, etc.)</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3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3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3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in the final conference (presentation of project results)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rsidR="00050373" w:rsidRDefault="008A1952">
            <w:pPr>
              <w:spacing w:after="16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Conducting group sessions for CSOs on specific topics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in 6 exchange visits to CSOs (including 1 visit to a CSO partner)</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 day</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6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Preparation of reports and presentation of the results of the Mentoring Program</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10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12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Support for the work of additional specialists involved (assistance in scheduling meetings, monitoring the preparation of documents, recording the fact of consultations provided, etc.)</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10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12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Preparation of materials for newsletters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Preparation of materials for the manual</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5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Supporting the group on WhatsApp (informing CSOs about events, promptly answering questions, etc.)</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 days</w:t>
            </w:r>
          </w:p>
        </w:tc>
      </w:tr>
      <w:tr w:rsidR="00050373" w:rsidTr="006E182D">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678" w:type="dxa"/>
            <w:tcBorders>
              <w:top w:val="nil"/>
              <w:left w:val="nil"/>
              <w:bottom w:val="single" w:sz="8" w:space="0" w:color="000000"/>
              <w:right w:val="single" w:sz="8" w:space="0" w:color="000000"/>
            </w:tcBorders>
            <w:shd w:val="clear" w:color="auto" w:fill="FFFFFF"/>
            <w:vAlign w:val="center"/>
          </w:tcPr>
          <w:p w:rsidR="00050373" w:rsidRDefault="008A1952">
            <w:pPr>
              <w:spacing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relevant tasks upon additional request and agreement </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20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20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20 days</w:t>
            </w:r>
          </w:p>
        </w:tc>
      </w:tr>
      <w:tr w:rsidR="00050373" w:rsidTr="006E182D">
        <w:trPr>
          <w:trHeight w:val="200"/>
        </w:trPr>
        <w:tc>
          <w:tcPr>
            <w:tcW w:w="5246" w:type="dxa"/>
            <w:gridSpan w:val="2"/>
            <w:tcBorders>
              <w:top w:val="nil"/>
              <w:left w:val="single" w:sz="8" w:space="0" w:color="000000"/>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days (for additional tasks):</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44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64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69 days</w:t>
            </w:r>
          </w:p>
        </w:tc>
      </w:tr>
      <w:tr w:rsidR="00050373" w:rsidTr="006E182D">
        <w:trPr>
          <w:trHeight w:val="20"/>
        </w:trPr>
        <w:tc>
          <w:tcPr>
            <w:tcW w:w="5246" w:type="dxa"/>
            <w:gridSpan w:val="2"/>
            <w:tcBorders>
              <w:top w:val="single" w:sz="8" w:space="0" w:color="000000"/>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days of activity per mentor:</w:t>
            </w:r>
          </w:p>
        </w:tc>
        <w:tc>
          <w:tcPr>
            <w:tcW w:w="1701"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64 days</w:t>
            </w:r>
          </w:p>
        </w:tc>
        <w:tc>
          <w:tcPr>
            <w:tcW w:w="1559"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up to 164 days</w:t>
            </w:r>
          </w:p>
        </w:tc>
        <w:tc>
          <w:tcPr>
            <w:tcW w:w="1418" w:type="dxa"/>
            <w:tcBorders>
              <w:top w:val="nil"/>
              <w:left w:val="nil"/>
              <w:bottom w:val="single" w:sz="8" w:space="0" w:color="000000"/>
              <w:right w:val="single" w:sz="8" w:space="0" w:color="000000"/>
            </w:tcBorders>
            <w:shd w:val="clear" w:color="auto" w:fill="FFFFFF"/>
            <w:vAlign w:val="center"/>
          </w:tcPr>
          <w:p w:rsidR="00050373" w:rsidRDefault="008A1952">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up to 189 days</w:t>
            </w:r>
          </w:p>
        </w:tc>
      </w:tr>
    </w:tbl>
    <w:p w:rsidR="00050373" w:rsidRDefault="00050373">
      <w:pPr>
        <w:spacing w:line="240" w:lineRule="auto"/>
        <w:jc w:val="both"/>
        <w:rPr>
          <w:rFonts w:ascii="Times New Roman" w:eastAsia="Times New Roman" w:hAnsi="Times New Roman" w:cs="Times New Roman"/>
          <w:b/>
        </w:rPr>
      </w:pPr>
    </w:p>
    <w:p w:rsidR="00050373" w:rsidRDefault="008A1952">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The number of days for each stage of implementation may vary during the project and is agreed upon and approved directly with the Fund's project manager. </w:t>
      </w:r>
    </w:p>
    <w:p w:rsidR="00050373" w:rsidRDefault="00050373">
      <w:pPr>
        <w:spacing w:line="240" w:lineRule="auto"/>
        <w:jc w:val="both"/>
        <w:rPr>
          <w:rFonts w:ascii="Times New Roman" w:eastAsia="Times New Roman" w:hAnsi="Times New Roman" w:cs="Times New Roman"/>
          <w:highlight w:val="white"/>
        </w:rPr>
      </w:pPr>
    </w:p>
    <w:p w:rsidR="00050373" w:rsidRDefault="008A1952">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highlight w:val="white"/>
        </w:rPr>
        <w:t>It is preliminarily expected that the total number of days of work for one service provider for all CSOs assigned to them will not exceed</w:t>
      </w:r>
      <w:r>
        <w:rPr>
          <w:rFonts w:ascii="Times New Roman" w:eastAsia="Times New Roman" w:hAnsi="Times New Roman" w:cs="Times New Roman"/>
        </w:rPr>
        <w:t xml:space="preserve"> 189 calendar days. </w:t>
      </w:r>
    </w:p>
    <w:p w:rsidR="00050373" w:rsidRDefault="00050373">
      <w:pPr>
        <w:spacing w:line="240" w:lineRule="auto"/>
        <w:jc w:val="both"/>
        <w:rPr>
          <w:rFonts w:ascii="Times New Roman" w:eastAsia="Times New Roman" w:hAnsi="Times New Roman" w:cs="Times New Roman"/>
        </w:rPr>
      </w:pPr>
    </w:p>
    <w:p w:rsidR="00050373" w:rsidRDefault="008A1952">
      <w:pPr>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rPr>
        <w:t>IMPORTANT</w:t>
      </w:r>
      <w:r>
        <w:rPr>
          <w:rFonts w:ascii="Times New Roman" w:eastAsia="Times New Roman" w:hAnsi="Times New Roman" w:cs="Times New Roman"/>
        </w:rPr>
        <w:t xml:space="preserve">: All working days must be confirmed by a Report on the time spent on providing services. The report on the time spent on providing services will be prepared in accordance with the template provided by the Fund and will contain at least the date, the amount of time spent, and a description of the service provider's activities for the hours worked. </w:t>
      </w:r>
    </w:p>
    <w:p w:rsidR="00050373" w:rsidRDefault="00050373">
      <w:pPr>
        <w:spacing w:line="240" w:lineRule="auto"/>
        <w:jc w:val="both"/>
        <w:rPr>
          <w:rFonts w:ascii="Times New Roman" w:eastAsia="Times New Roman" w:hAnsi="Times New Roman" w:cs="Times New Roman"/>
          <w:b/>
          <w:i/>
        </w:rPr>
      </w:pPr>
    </w:p>
    <w:p w:rsidR="00050373" w:rsidRDefault="008A195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II. Reporting. </w:t>
      </w:r>
    </w:p>
    <w:p w:rsidR="00050373" w:rsidRDefault="00050373">
      <w:pPr>
        <w:spacing w:line="240" w:lineRule="auto"/>
        <w:jc w:val="both"/>
        <w:rPr>
          <w:rFonts w:ascii="Times New Roman" w:eastAsia="Times New Roman" w:hAnsi="Times New Roman" w:cs="Times New Roman"/>
          <w:b/>
        </w:rPr>
      </w:pP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service provider shall regularly report on its activities to the relevant Fund project manager, the coordinator of the program to strengthen the capacity of local organizations, and, upon request, other involved specialists or persons of the Fund.  </w:t>
      </w: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Reporting includes (but is not limited to) the following documents:</w:t>
      </w:r>
    </w:p>
    <w:p w:rsidR="00050373" w:rsidRDefault="008A1952">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Report on time spent providing services;</w:t>
      </w:r>
    </w:p>
    <w:p w:rsidR="00050373" w:rsidRDefault="008A1952">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Materials from the initial assessment of the organizational capacity of CSOs in accordance with the approved methodology (including the CSO profile, questionnaire analysis, and descriptive report on the assessment results for each CSO);</w:t>
      </w:r>
    </w:p>
    <w:p w:rsidR="00050373" w:rsidRDefault="008A1952">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Short-term and long-term recommendations for CSO development;</w:t>
      </w:r>
    </w:p>
    <w:p w:rsidR="00050373" w:rsidRDefault="008A1952">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Action plans to enhance CSO capacity;</w:t>
      </w:r>
    </w:p>
    <w:p w:rsidR="00050373" w:rsidRDefault="008A1952">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Materials from activities carried out to enhance CSO capacity (consultations, trainings, seminars, master classes, workshops, etc.)</w:t>
      </w:r>
    </w:p>
    <w:p w:rsidR="00050373" w:rsidRDefault="008A1952">
      <w:pPr>
        <w:numPr>
          <w:ilvl w:val="0"/>
          <w:numId w:val="2"/>
        </w:num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Report on the implementation of the Action Plan and individual assistance to CSO partners;</w:t>
      </w:r>
    </w:p>
    <w:p w:rsidR="00050373" w:rsidRDefault="008A1952">
      <w:pPr>
        <w:numPr>
          <w:ilvl w:val="0"/>
          <w:numId w:val="2"/>
        </w:num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Materials of the final assessment of CSO organizational capacity in accordance with the approved methodology (including CSO profile, questionnaire analysis, and descriptive report on the assessment results for each CSO);</w:t>
      </w: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Report on the results of the work carried out with recommendations for further work.</w:t>
      </w: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The above documents shall be provided by service providers no later than 5 days after the relevant task has been completed in accordance with the agreed Service Delivery Schedule.</w:t>
      </w:r>
    </w:p>
    <w:p w:rsidR="00050373" w:rsidRDefault="00050373">
      <w:pPr>
        <w:pBdr>
          <w:top w:val="nil"/>
          <w:left w:val="nil"/>
          <w:bottom w:val="nil"/>
          <w:right w:val="nil"/>
          <w:between w:val="nil"/>
        </w:pBdr>
        <w:spacing w:after="200" w:line="240" w:lineRule="auto"/>
        <w:jc w:val="both"/>
        <w:rPr>
          <w:rFonts w:ascii="Times New Roman" w:eastAsia="Times New Roman" w:hAnsi="Times New Roman" w:cs="Times New Roman"/>
        </w:rPr>
      </w:pPr>
    </w:p>
    <w:p w:rsidR="00050373" w:rsidRDefault="00050373">
      <w:pPr>
        <w:pBdr>
          <w:top w:val="nil"/>
          <w:left w:val="nil"/>
          <w:bottom w:val="nil"/>
          <w:right w:val="nil"/>
          <w:between w:val="nil"/>
        </w:pBdr>
        <w:spacing w:after="200" w:line="240" w:lineRule="auto"/>
        <w:jc w:val="both"/>
        <w:rPr>
          <w:rFonts w:ascii="Times New Roman" w:eastAsia="Times New Roman" w:hAnsi="Times New Roman" w:cs="Times New Roman"/>
        </w:rPr>
      </w:pPr>
    </w:p>
    <w:p w:rsidR="00050373" w:rsidRDefault="008A195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III. Payment for travel, meals, and accommodation.</w:t>
      </w:r>
    </w:p>
    <w:p w:rsidR="00050373" w:rsidRDefault="00050373">
      <w:pPr>
        <w:spacing w:line="240" w:lineRule="auto"/>
        <w:jc w:val="both"/>
        <w:rPr>
          <w:rFonts w:ascii="Times New Roman" w:eastAsia="Times New Roman" w:hAnsi="Times New Roman" w:cs="Times New Roman"/>
          <w:b/>
        </w:rPr>
      </w:pP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When providing services to CSOs in an offline format, the rental of premises for consultations, meals, travel, and accommodation of the service provider </w:t>
      </w:r>
      <w:r>
        <w:rPr>
          <w:rFonts w:ascii="Times New Roman" w:eastAsia="Times New Roman" w:hAnsi="Times New Roman" w:cs="Times New Roman"/>
          <w:b/>
        </w:rPr>
        <w:t>shall NOT</w:t>
      </w:r>
      <w:r>
        <w:rPr>
          <w:rFonts w:ascii="Times New Roman" w:eastAsia="Times New Roman" w:hAnsi="Times New Roman" w:cs="Times New Roman"/>
        </w:rPr>
        <w:t xml:space="preserve"> be provided or covered by the Fund if the service provider resides in the same locality as the CSO. The only exceptions are joint events with partners or trips to the CSO's location if the service provider is located in another settlement. Compensation for travel and accommodation expenses is made on the basis of supporting documents. Per diems are</w:t>
      </w:r>
      <w:r>
        <w:rPr>
          <w:rFonts w:ascii="Times New Roman" w:eastAsia="Times New Roman" w:hAnsi="Times New Roman" w:cs="Times New Roman"/>
          <w:b/>
        </w:rPr>
        <w:t xml:space="preserve"> NOT </w:t>
      </w:r>
      <w:r>
        <w:rPr>
          <w:rFonts w:ascii="Times New Roman" w:eastAsia="Times New Roman" w:hAnsi="Times New Roman" w:cs="Times New Roman"/>
        </w:rPr>
        <w:t>paid.</w:t>
      </w: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Services may be provided at the premises of the CSO or at the premises of the regional office of the Right to Protection Charitable Foundation.</w:t>
      </w: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rPr>
      </w:pPr>
      <w:r>
        <w:rPr>
          <w:rFonts w:ascii="Times New Roman" w:eastAsia="Times New Roman" w:hAnsi="Times New Roman" w:cs="Times New Roman"/>
        </w:rPr>
        <w:t>Payment for services rendered will be made monthly on the basis of an invoice, a signed act of services rendered, and a report on the time spent on providing services, in accordance with the form agreed upon with the contractor.</w:t>
      </w:r>
    </w:p>
    <w:p w:rsidR="00050373" w:rsidRDefault="008A1952">
      <w:pPr>
        <w:pBdr>
          <w:top w:val="nil"/>
          <w:left w:val="nil"/>
          <w:bottom w:val="nil"/>
          <w:right w:val="nil"/>
          <w:between w:val="nil"/>
        </w:pBdr>
        <w:spacing w:after="200" w:line="240" w:lineRule="auto"/>
        <w:jc w:val="both"/>
        <w:rPr>
          <w:rFonts w:ascii="Times New Roman" w:eastAsia="Times New Roman" w:hAnsi="Times New Roman" w:cs="Times New Roman"/>
          <w:b/>
        </w:rPr>
      </w:pPr>
      <w:r>
        <w:rPr>
          <w:rFonts w:ascii="Times New Roman" w:eastAsia="Times New Roman" w:hAnsi="Times New Roman" w:cs="Times New Roman"/>
        </w:rPr>
        <w:t>Payment shall be made by bank transfer to the contractor's bank account.</w:t>
      </w:r>
      <w:r>
        <w:rPr>
          <w:rFonts w:ascii="Times New Roman" w:eastAsia="Times New Roman" w:hAnsi="Times New Roman" w:cs="Times New Roman"/>
        </w:rPr>
        <w:br/>
        <w:t>In the event of concluding a contract with an individual entrepreneur (IE), the contractor must be a payer of the single tax of the 3rd group and provide the relevant registration documents.</w:t>
      </w:r>
    </w:p>
    <w:p w:rsidR="00050373" w:rsidRDefault="008A1952">
      <w:pPr>
        <w:widowControl w:val="0"/>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participant is responsible for paying all taxes, fees, or other mandatory payments provided for by the legislation of Ukraine.</w:t>
      </w:r>
    </w:p>
    <w:p w:rsidR="00050373" w:rsidRDefault="00050373">
      <w:pPr>
        <w:widowControl w:val="0"/>
        <w:spacing w:line="240" w:lineRule="auto"/>
        <w:ind w:right="136"/>
        <w:jc w:val="both"/>
        <w:rPr>
          <w:rFonts w:ascii="Times New Roman" w:eastAsia="Times New Roman" w:hAnsi="Times New Roman" w:cs="Times New Roman"/>
          <w:highlight w:val="white"/>
        </w:rPr>
      </w:pPr>
    </w:p>
    <w:p w:rsidR="00050373" w:rsidRDefault="008A1952">
      <w:pPr>
        <w:spacing w:after="200"/>
        <w:jc w:val="both"/>
        <w:rPr>
          <w:rFonts w:ascii="Times New Roman" w:eastAsia="Times New Roman" w:hAnsi="Times New Roman" w:cs="Times New Roman"/>
          <w:b/>
        </w:rPr>
      </w:pPr>
      <w:bookmarkStart w:id="1" w:name="_heading=h.fqok8vcm1k8c" w:colFirst="0" w:colLast="0"/>
      <w:bookmarkEnd w:id="1"/>
      <w:r>
        <w:rPr>
          <w:rFonts w:ascii="Times New Roman" w:eastAsia="Times New Roman" w:hAnsi="Times New Roman" w:cs="Times New Roman"/>
          <w:b/>
        </w:rPr>
        <w:t>IV. Requirements for submitting proposals</w:t>
      </w:r>
    </w:p>
    <w:p w:rsidR="00050373" w:rsidRDefault="008A1952">
      <w:pPr>
        <w:widowControl w:val="0"/>
        <w:pBdr>
          <w:top w:val="nil"/>
          <w:left w:val="nil"/>
          <w:bottom w:val="nil"/>
          <w:right w:val="nil"/>
          <w:between w:val="nil"/>
        </w:pBdr>
        <w:spacing w:line="240" w:lineRule="auto"/>
        <w:ind w:right="136"/>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The proposal must be written </w:t>
      </w:r>
      <w:r>
        <w:rPr>
          <w:rFonts w:ascii="Times New Roman" w:eastAsia="Times New Roman" w:hAnsi="Times New Roman" w:cs="Times New Roman"/>
          <w:b/>
          <w:highlight w:val="white"/>
        </w:rPr>
        <w:t xml:space="preserve">in Ukrainian. </w:t>
      </w:r>
    </w:p>
    <w:p w:rsidR="00050373" w:rsidRDefault="008A1952">
      <w:pPr>
        <w:widowControl w:val="0"/>
        <w:pBdr>
          <w:top w:val="nil"/>
          <w:left w:val="nil"/>
          <w:bottom w:val="nil"/>
          <w:right w:val="nil"/>
          <w:between w:val="nil"/>
        </w:pBdr>
        <w:spacing w:line="240" w:lineRule="auto"/>
        <w:ind w:right="136"/>
        <w:jc w:val="both"/>
        <w:rPr>
          <w:rFonts w:ascii="Times New Roman" w:eastAsia="Times New Roman" w:hAnsi="Times New Roman" w:cs="Times New Roman"/>
        </w:rPr>
      </w:pPr>
      <w:r>
        <w:rPr>
          <w:rFonts w:ascii="Times New Roman" w:eastAsia="Times New Roman" w:hAnsi="Times New Roman" w:cs="Times New Roman"/>
          <w:highlight w:val="white"/>
        </w:rPr>
        <w:t>Please provide the following package of documents, which shall include:</w:t>
      </w:r>
    </w:p>
    <w:p w:rsidR="00050373" w:rsidRDefault="008A1952">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contractor's contact information;</w:t>
      </w:r>
    </w:p>
    <w:p w:rsidR="00050373" w:rsidRDefault="008A1952">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CV with a detailed description of relevant experience over the last 5 years, indicating the positions and functions performed. </w:t>
      </w:r>
    </w:p>
    <w:p w:rsidR="00050373" w:rsidRDefault="008A1952">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Diploma, qualification certificates. </w:t>
      </w:r>
    </w:p>
    <w:p w:rsidR="00050373" w:rsidRDefault="008A1952">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Samples of developed methodological materials (methodologies, assessment cards, reports, recommendations, training programs, bulletins, manuals, etc.), mentoring and training programs. Submit in pdf, word, excel, Power Point, or other formats that are accessible for general viewing. Materials where the participant was a co-author, editor, or reviewer will also </w:t>
      </w:r>
      <w:r>
        <w:rPr>
          <w:rFonts w:ascii="Times New Roman" w:eastAsia="Times New Roman" w:hAnsi="Times New Roman" w:cs="Times New Roman"/>
          <w:highlight w:val="white"/>
        </w:rPr>
        <w:lastRenderedPageBreak/>
        <w:t xml:space="preserve">be considered. </w:t>
      </w:r>
      <w:r>
        <w:rPr>
          <w:rFonts w:ascii="Times New Roman" w:eastAsia="Times New Roman" w:hAnsi="Times New Roman" w:cs="Times New Roman"/>
          <w:highlight w:val="white"/>
          <w:u w:val="single"/>
        </w:rPr>
        <w:t>The Foundation guarantees the confidentiality of the materials received and will not share them with third parties.</w:t>
      </w:r>
    </w:p>
    <w:p w:rsidR="00050373" w:rsidRDefault="008A1952">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Description of areas of professional expertise in which the participant can act as a consultant with proven experience in providing advice on organizational development (strategic planning, fundraising, development of internal policies, staff care, etc.).</w:t>
      </w:r>
    </w:p>
    <w:p w:rsidR="00050373" w:rsidRDefault="008A1952">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Letters of recommendation and letters of appreciation from CSOs, businesses, or government agencies related to the tasks of this project. </w:t>
      </w:r>
    </w:p>
    <w:p w:rsidR="00050373" w:rsidRDefault="00050373">
      <w:pPr>
        <w:widowControl w:val="0"/>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p>
    <w:p w:rsidR="00050373" w:rsidRDefault="008A1952">
      <w:pPr>
        <w:widowControl w:val="0"/>
        <w:pBdr>
          <w:top w:val="nil"/>
          <w:left w:val="nil"/>
          <w:bottom w:val="nil"/>
          <w:right w:val="nil"/>
          <w:between w:val="nil"/>
        </w:pBdr>
        <w:spacing w:line="240" w:lineRule="auto"/>
        <w:ind w:right="136"/>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V. Summing up the results of the competition</w:t>
      </w:r>
    </w:p>
    <w:p w:rsidR="00050373" w:rsidRDefault="008A1952">
      <w:pPr>
        <w:widowControl w:val="0"/>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evaluation of tender proposals will consist of 70% evaluation of technical proposals and 30% evaluation of price proposals.</w:t>
      </w:r>
    </w:p>
    <w:p w:rsidR="00050373" w:rsidRDefault="00050373">
      <w:pPr>
        <w:widowControl w:val="0"/>
        <w:pBdr>
          <w:top w:val="nil"/>
          <w:left w:val="nil"/>
          <w:bottom w:val="nil"/>
          <w:right w:val="nil"/>
          <w:between w:val="nil"/>
        </w:pBdr>
        <w:spacing w:line="240" w:lineRule="auto"/>
        <w:ind w:right="136"/>
        <w:jc w:val="both"/>
        <w:rPr>
          <w:rFonts w:ascii="Times New Roman" w:eastAsia="Times New Roman" w:hAnsi="Times New Roman" w:cs="Times New Roman"/>
          <w:highlight w:val="white"/>
        </w:rPr>
      </w:pPr>
    </w:p>
    <w:tbl>
      <w:tblPr>
        <w:tblStyle w:val="a8"/>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239"/>
        <w:gridCol w:w="6237"/>
        <w:gridCol w:w="1134"/>
      </w:tblGrid>
      <w:tr w:rsidR="00050373" w:rsidTr="006E182D">
        <w:trPr>
          <w:jc w:val="center"/>
        </w:trPr>
        <w:tc>
          <w:tcPr>
            <w:tcW w:w="10060" w:type="dxa"/>
            <w:gridSpan w:val="4"/>
            <w:shd w:val="clear" w:color="auto" w:fill="DBE5F1"/>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EVALUATION SCALE</w:t>
            </w:r>
          </w:p>
        </w:tc>
      </w:tr>
      <w:tr w:rsidR="00050373" w:rsidTr="006E182D">
        <w:trPr>
          <w:trHeight w:val="506"/>
          <w:jc w:val="center"/>
        </w:trPr>
        <w:tc>
          <w:tcPr>
            <w:tcW w:w="450" w:type="dxa"/>
            <w:shd w:val="clear" w:color="auto" w:fill="DBE5F1"/>
            <w:tcMar>
              <w:top w:w="0" w:type="dxa"/>
              <w:left w:w="45" w:type="dxa"/>
              <w:bottom w:w="0" w:type="dxa"/>
              <w:right w:w="45" w:type="dxa"/>
            </w:tcMar>
            <w:vAlign w:val="center"/>
          </w:tcPr>
          <w:p w:rsidR="00050373" w:rsidRDefault="00050373">
            <w:pPr>
              <w:spacing w:after="200" w:line="259" w:lineRule="auto"/>
              <w:jc w:val="both"/>
              <w:rPr>
                <w:rFonts w:ascii="Times New Roman" w:eastAsia="Times New Roman" w:hAnsi="Times New Roman" w:cs="Times New Roman"/>
                <w:sz w:val="20"/>
                <w:szCs w:val="20"/>
              </w:rPr>
            </w:pPr>
          </w:p>
        </w:tc>
        <w:tc>
          <w:tcPr>
            <w:tcW w:w="2239" w:type="dxa"/>
            <w:shd w:val="clear" w:color="auto" w:fill="DBE5F1"/>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Compliance with criteria</w:t>
            </w:r>
          </w:p>
        </w:tc>
        <w:tc>
          <w:tcPr>
            <w:tcW w:w="6237" w:type="dxa"/>
            <w:shd w:val="clear" w:color="auto" w:fill="DBE5F1"/>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EVALUATION METHODOLOGY</w:t>
            </w:r>
          </w:p>
        </w:tc>
        <w:tc>
          <w:tcPr>
            <w:tcW w:w="1134" w:type="dxa"/>
            <w:shd w:val="clear" w:color="auto" w:fill="DBE5F1"/>
            <w:tcMar>
              <w:top w:w="0" w:type="dxa"/>
              <w:left w:w="45" w:type="dxa"/>
              <w:bottom w:w="0" w:type="dxa"/>
              <w:right w:w="45" w:type="dxa"/>
            </w:tcMar>
            <w:vAlign w:val="center"/>
          </w:tcPr>
          <w:p w:rsidR="00050373" w:rsidRDefault="008A1952" w:rsidP="006E182D">
            <w:pPr>
              <w:spacing w:after="20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Maximum number of points required</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contractor must have a higher education degree.</w:t>
            </w:r>
          </w:p>
          <w:p w:rsidR="00050373" w:rsidRDefault="00050373">
            <w:pPr>
              <w:spacing w:after="200" w:line="259" w:lineRule="auto"/>
              <w:jc w:val="both"/>
              <w:rPr>
                <w:rFonts w:ascii="Times New Roman" w:eastAsia="Times New Roman" w:hAnsi="Times New Roman" w:cs="Times New Roman"/>
                <w:sz w:val="20"/>
                <w:szCs w:val="20"/>
              </w:rPr>
            </w:pPr>
          </w:p>
        </w:tc>
        <w:tc>
          <w:tcPr>
            <w:tcW w:w="6237" w:type="dxa"/>
            <w:vAlign w:val="center"/>
          </w:tcPr>
          <w:p w:rsidR="00050373" w:rsidRDefault="008A1952">
            <w:pPr>
              <w:spacing w:line="240" w:lineRule="auto"/>
              <w:jc w:val="both"/>
              <w:rPr>
                <w:rFonts w:ascii="Times New Roman" w:eastAsia="Times New Roman" w:hAnsi="Times New Roman" w:cs="Times New Roman"/>
                <w:sz w:val="20"/>
                <w:szCs w:val="20"/>
              </w:rPr>
            </w:pPr>
            <w:bookmarkStart w:id="2" w:name="_heading=h.kovd2w29nmwy" w:colFirst="0" w:colLast="0"/>
            <w:bookmarkEnd w:id="2"/>
            <w:r>
              <w:rPr>
                <w:rFonts w:ascii="Times New Roman" w:eastAsia="Times New Roman" w:hAnsi="Times New Roman" w:cs="Times New Roman"/>
                <w:sz w:val="20"/>
                <w:szCs w:val="20"/>
              </w:rPr>
              <w:t>5 points: Master's degree, Specialist in the fields of communications, marketing, management, non-profit organization management, public management and administration, legal sciences or other humanities, finance, economics, etc.</w:t>
            </w:r>
          </w:p>
          <w:p w:rsidR="00050373" w:rsidRDefault="008A1952">
            <w:pPr>
              <w:spacing w:line="240" w:lineRule="auto"/>
              <w:jc w:val="both"/>
              <w:rPr>
                <w:rFonts w:ascii="Times New Roman" w:eastAsia="Times New Roman" w:hAnsi="Times New Roman" w:cs="Times New Roman"/>
                <w:sz w:val="20"/>
                <w:szCs w:val="20"/>
              </w:rPr>
            </w:pPr>
            <w:bookmarkStart w:id="3" w:name="_heading=h.xdb0ml6hjd0s" w:colFirst="0" w:colLast="0"/>
            <w:bookmarkEnd w:id="3"/>
            <w:r>
              <w:rPr>
                <w:rFonts w:ascii="Times New Roman" w:eastAsia="Times New Roman" w:hAnsi="Times New Roman" w:cs="Times New Roman"/>
                <w:sz w:val="20"/>
                <w:szCs w:val="20"/>
              </w:rPr>
              <w:br/>
              <w:t>3 points: Bachelor's degree in communications, marketing, management, non-profit management, public administration, law or other humanities, finance, economics, etc.</w:t>
            </w:r>
          </w:p>
          <w:p w:rsidR="00050373" w:rsidRDefault="008A1952">
            <w:pPr>
              <w:spacing w:line="240" w:lineRule="auto"/>
              <w:jc w:val="both"/>
              <w:rPr>
                <w:rFonts w:ascii="Times New Roman" w:eastAsia="Times New Roman" w:hAnsi="Times New Roman" w:cs="Times New Roman"/>
                <w:sz w:val="20"/>
                <w:szCs w:val="20"/>
              </w:rPr>
            </w:pPr>
            <w:bookmarkStart w:id="4" w:name="_heading=h.83dlz9ilabe9" w:colFirst="0" w:colLast="0"/>
            <w:bookmarkEnd w:id="4"/>
            <w:r>
              <w:rPr>
                <w:rFonts w:ascii="Times New Roman" w:eastAsia="Times New Roman" w:hAnsi="Times New Roman" w:cs="Times New Roman"/>
                <w:sz w:val="20"/>
                <w:szCs w:val="20"/>
              </w:rPr>
              <w:br/>
              <w:t>0 points: No higher education OR no information provided on education or copies of diplomas OR the Contractor's education is completely irrelevant to the Customer's requirements</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23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Resume.</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participant must provide a detailed resume of the Contractor. The content of the resume is evaluated, indicating experience and skills acquired.</w:t>
            </w:r>
          </w:p>
        </w:tc>
        <w:tc>
          <w:tcPr>
            <w:tcW w:w="6237" w:type="dxa"/>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points: Demonstration of detailed information in key areas and tasks of the request, detailed description of powers, skills, achievements, developed materials, conducted trainings/webinars/training sessions, mentoring programs during the period of experience acquisition. Information is provided on the number and areas of training, consultations, seminars, webinars, and mentoring sessions that the Contractor has accompanied as a mentor, the number of participants, the geography of the participants, the topics worked on, the number of events that had to be organized simultaneously, whether online/offline events were organized/conducted, what documents were prepared for these events, what reports were generated, and what online platforms the Contractor has experience working with (Google Drive, social networks).online and offline events, what documents were prepared for these events, what reports were generated, what online platforms they have experience working with (Google Drive, social networks, CRM systems, ZOOM, etc.), whether they have experience working with consultants/trainers, how many specialists they had to work with simultaneously, etc. The resume is up to date and contains information about the specialist's activities for at least the last 5 years.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points: Demonstration of generalised information in key areas and tasks of the request. Work experience, key areas of performance are indicated without additional details about skills, achievements or developments, scope of work and results, etc. The resume is up to date and contains information about the specialist's activities for at least the last 3 years.</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points: A resume is provided with no relevant experience over the last 3 years in the areas and tasks of the request, but the contractor's previous experience in performing similar tasks is reflected. </w:t>
            </w:r>
          </w:p>
          <w:p w:rsidR="00050373" w:rsidRDefault="008A195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No resume provided or experience is not relevant to the field and tasks of the request.</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3</w:t>
            </w:r>
          </w:p>
        </w:tc>
        <w:tc>
          <w:tcPr>
            <w:tcW w:w="2239"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trike/>
                <w:sz w:val="20"/>
                <w:szCs w:val="20"/>
              </w:rPr>
            </w:pPr>
            <w:r>
              <w:rPr>
                <w:rFonts w:ascii="Times New Roman" w:eastAsia="Times New Roman" w:hAnsi="Times New Roman" w:cs="Times New Roman"/>
                <w:sz w:val="20"/>
                <w:szCs w:val="20"/>
              </w:rPr>
              <w:t xml:space="preserve">The contractor has provided materials confirming their experience. </w:t>
            </w:r>
          </w:p>
        </w:tc>
        <w:tc>
          <w:tcPr>
            <w:tcW w:w="6237" w:type="dxa"/>
            <w:vAlign w:val="center"/>
          </w:tcPr>
          <w:p w:rsidR="00050373" w:rsidRDefault="008A1952">
            <w:pPr>
              <w:spacing w:after="200" w:line="259"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15 points - The contractor provided a large amount of materials that confirm their experience in conducting/supporting </w:t>
            </w:r>
            <w:r>
              <w:rPr>
                <w:rFonts w:ascii="Times New Roman" w:eastAsia="Times New Roman" w:hAnsi="Times New Roman" w:cs="Times New Roman"/>
                <w:sz w:val="20"/>
                <w:szCs w:val="20"/>
                <w:highlight w:val="white"/>
              </w:rPr>
              <w:t>trainings/webinars/seminars/consultations: presentations, instructions, document templates, developed methodologies, manuals, etc.</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points - the materials provided are indirectly related to the topic, but demonstrate the contractor's ability to perform similar tasks.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points - The materials provided are not related to the topic of the request or do not demonstrate the contractor's ability to perform similar tasks.</w:t>
            </w:r>
          </w:p>
          <w:p w:rsidR="00050373" w:rsidRDefault="008A1952">
            <w:pPr>
              <w:spacing w:after="200" w:line="259"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0 points - The contractor did not provide any materials, or the materials provided are not relevant to the topic of the request or do not confirm the contractor's competence to perform the specified tasks. </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15</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239"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contractor participated in an interview</w:t>
            </w:r>
          </w:p>
        </w:tc>
        <w:tc>
          <w:tcPr>
            <w:tcW w:w="6237" w:type="dxa"/>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points: the participant arrived at the meeting on time, is familiar with the subject of the tender announcement, and clearly answers questions about their experience working with CSOs, developing training programs, and conducting training sessions, consultations, webinars, etc. The participant has public speaking skills, speaks without filler words or offensive statements, communicates fluently in Ukrainian, etc. Has significant experience in mentoring CSOs, etc.</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points - the participant joined the meeting, is familiar with the subject of the tender announcement, clearly answers questions about their experience working with CSOs, developing training programs, and conducting training sessions, consultations, webinars, etc. However, the participant has poor/no public speaking skills, formulates sentences in a complex, incoherent manner, uses filler words, offensive statements, etc. Poor command of spoken Ukrainian. Has little experience in mentoring CSOs, etc.</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points - the participant joined the meeting with little knowledge of the subject of the tender announcement, has indirect experience working with CSOs, experience in developing training programs and conducting training sessions, consultations, webinars, etc. The participant has poor/no public speaking skills, formulates sentences in a complex, incoherent manner, uses filler words, offensive statements, etc. Poor command of spoken Ukrainian. No/or little experience in mentoring CSOs, etc.</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points - the participant joined the meeting, is superficially familiar with the subject of the tender announcement, and answers questions in a generalised manner without providing specific and clear answers. The participant lacks public speaking skills, their speech is saturated with filler words, offensive statements, inappropriate jokes, etc. Poor command of spoken Ukrainian.</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 the participant did not attend the meeting, or does not have information about the subject of the tender announcement, or cannot answer questions on the topic.</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23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contractor has experience working in the public sector. </w:t>
            </w:r>
          </w:p>
        </w:tc>
        <w:tc>
          <w:tcPr>
            <w:tcW w:w="6237" w:type="dxa"/>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points - The contractor has significant experience working with CSOs, including experience in organizing CSO organizational development events, conducting/supporting training specifically for CSOs, taking into account the needs and characteristics of the non-profit sector. Has held positions as an educational program manager/knowledge management specialist, project manager, staff development specialist, trainer, etc.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points - The contractor has significant experience working with CSOs, but this experience is not relevant to the topic of the request. The contractor has not worked with the mentoring component.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points - The contractor has little experience working with CSOs, or their experience is not relevant to the topic of the request, etc. The contractor has </w:t>
            </w:r>
            <w:r>
              <w:rPr>
                <w:rFonts w:ascii="Times New Roman" w:eastAsia="Times New Roman" w:hAnsi="Times New Roman" w:cs="Times New Roman"/>
                <w:sz w:val="20"/>
                <w:szCs w:val="20"/>
              </w:rPr>
              <w:lastRenderedPageBreak/>
              <w:t>not held positions related to the implementation of educational activities, project management, staff development, mentoring, etc.</w:t>
            </w:r>
          </w:p>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sz w:val="20"/>
                <w:szCs w:val="20"/>
              </w:rPr>
              <w:t>0 points - The contractor has not worked with CSOs.</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bookmarkStart w:id="5" w:name="_heading=h.1uy3ynaf5nqt" w:colFirst="0" w:colLast="0"/>
            <w:bookmarkEnd w:id="5"/>
            <w:r>
              <w:rPr>
                <w:rFonts w:ascii="Times New Roman" w:eastAsia="Times New Roman" w:hAnsi="Times New Roman" w:cs="Times New Roman"/>
              </w:rPr>
              <w:lastRenderedPageBreak/>
              <w:t>10</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23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participant has areas of professional specialization in which they can act as a consultant for CSOs.</w:t>
            </w:r>
          </w:p>
        </w:tc>
        <w:tc>
          <w:tcPr>
            <w:tcW w:w="6237" w:type="dxa"/>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points - the participant has competencies in 3 or more topics in which they can provide advice independently (fundraising, strategic planning, personnel management, personnel care, development of internal policies, etc.).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points - the participant has expertise in 1-2 topics in which they can provide advice independently (fundraising, strategic planning, human resources management, staff care, development of internal policies, etc.).</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 the participant has no competence in any organizational development topics and cannot provide advice independently.</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050373" w:rsidTr="006E182D">
        <w:trPr>
          <w:trHeight w:val="20"/>
          <w:jc w:val="center"/>
        </w:trPr>
        <w:tc>
          <w:tcPr>
            <w:tcW w:w="450"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239"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Willingness to travel to project implementation regions </w:t>
            </w:r>
          </w:p>
        </w:tc>
        <w:tc>
          <w:tcPr>
            <w:tcW w:w="6237" w:type="dxa"/>
            <w:vAlign w:val="center"/>
          </w:tcPr>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points - stated willingness to travel to all project regions as often as necessary.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point - stated willingness to make 2-4 trips during the project implementation and/or to a limited number of project regions. </w:t>
            </w:r>
          </w:p>
          <w:p w:rsidR="00050373" w:rsidRDefault="008A1952">
            <w:pPr>
              <w:spacing w:after="200"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 points - willingness to work online only.</w:t>
            </w:r>
          </w:p>
        </w:tc>
        <w:tc>
          <w:tcPr>
            <w:tcW w:w="1134" w:type="dxa"/>
            <w:tcMar>
              <w:top w:w="0" w:type="dxa"/>
              <w:left w:w="45" w:type="dxa"/>
              <w:bottom w:w="0" w:type="dxa"/>
              <w:right w:w="45" w:type="dxa"/>
            </w:tcMar>
            <w:vAlign w:val="center"/>
          </w:tcPr>
          <w:p w:rsidR="00050373" w:rsidRDefault="008A1952">
            <w:pPr>
              <w:spacing w:after="200" w:line="259" w:lineRule="auto"/>
              <w:jc w:val="both"/>
              <w:rPr>
                <w:rFonts w:ascii="Times New Roman" w:eastAsia="Times New Roman" w:hAnsi="Times New Roman" w:cs="Times New Roman"/>
              </w:rPr>
            </w:pPr>
            <w:r>
              <w:rPr>
                <w:rFonts w:ascii="Times New Roman" w:eastAsia="Times New Roman" w:hAnsi="Times New Roman" w:cs="Times New Roman"/>
              </w:rPr>
              <w:t>3</w:t>
            </w:r>
          </w:p>
        </w:tc>
      </w:tr>
    </w:tbl>
    <w:p w:rsidR="00050373" w:rsidRDefault="00050373">
      <w:pPr>
        <w:spacing w:after="200" w:line="259" w:lineRule="auto"/>
        <w:ind w:firstLine="360"/>
        <w:jc w:val="both"/>
        <w:rPr>
          <w:rFonts w:ascii="Times New Roman" w:eastAsia="Times New Roman" w:hAnsi="Times New Roman" w:cs="Times New Roman"/>
          <w:highlight w:val="white"/>
        </w:rPr>
      </w:pPr>
    </w:p>
    <w:sectPr w:rsidR="00050373" w:rsidSect="006E182D">
      <w:headerReference w:type="default" r:id="rId8"/>
      <w:pgSz w:w="11909" w:h="16834"/>
      <w:pgMar w:top="142" w:right="1440" w:bottom="23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828" w:rsidRDefault="00E22828">
      <w:pPr>
        <w:spacing w:line="240" w:lineRule="auto"/>
      </w:pPr>
      <w:r>
        <w:separator/>
      </w:r>
    </w:p>
  </w:endnote>
  <w:endnote w:type="continuationSeparator" w:id="0">
    <w:p w:rsidR="00E22828" w:rsidRDefault="00E22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828" w:rsidRDefault="00E22828">
      <w:pPr>
        <w:spacing w:line="240" w:lineRule="auto"/>
      </w:pPr>
      <w:r>
        <w:separator/>
      </w:r>
    </w:p>
  </w:footnote>
  <w:footnote w:type="continuationSeparator" w:id="0">
    <w:p w:rsidR="00E22828" w:rsidRDefault="00E22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373" w:rsidRDefault="000503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C607D"/>
    <w:multiLevelType w:val="multilevel"/>
    <w:tmpl w:val="D9C2A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EA12A2"/>
    <w:multiLevelType w:val="multilevel"/>
    <w:tmpl w:val="17F47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373"/>
    <w:rsid w:val="00050373"/>
    <w:rsid w:val="006E182D"/>
    <w:rsid w:val="00827BDE"/>
    <w:rsid w:val="008A1952"/>
    <w:rsid w:val="00E22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6B05B-BEA9-431D-8D8C-C0A1B163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a6">
    <w:name w:val="Subtitle"/>
    <w:basedOn w:val="a"/>
    <w:next w:val="a"/>
    <w:uiPriority w:val="11"/>
    <w:qFormat/>
    <w:pPr>
      <w:keepNext/>
      <w:keepLines/>
      <w:spacing w:after="320"/>
    </w:pPr>
    <w:rPr>
      <w:color w:val="666666"/>
      <w:sz w:val="30"/>
      <w:szCs w:val="30"/>
    </w:r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paragraph" w:styleId="a9">
    <w:name w:val="No Spacing"/>
    <w:uiPriority w:val="1"/>
    <w:qFormat/>
    <w:rsid w:val="006E182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r7IZMk5Q6aL9X6vZ43GfrHmXA==">CgMxLjAyDmguZnFvazh2Y20xazhjMg5oLmtvdmQydzI5bm13eTIOaC54ZGIwbWw2aGpkMHMyDmguODNkbHo5aWxhYmU5Mg5oLjF1eTN5bmFmNW5xdDgAciExRkdZRlZQMTRsMnJjRDgyZjVuNEY2MFMzOVVDOWJwTG8=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11903</Words>
  <Characters>6786</Characters>
  <Application>Microsoft Office Word</Application>
  <DocSecurity>0</DocSecurity>
  <Lines>56</Lines>
  <Paragraphs>37</Paragraphs>
  <ScaleCrop>false</ScaleCrop>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2025-10-13T05:45:00Z</dcterms:created>
  <dcterms:modified xsi:type="dcterms:W3CDTF">2025-10-13T05:59:00Z</dcterms:modified>
</cp:coreProperties>
</file>