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CD38D" w14:textId="77777777" w:rsidR="006B1F12" w:rsidRDefault="006B1F12">
      <w:pPr>
        <w:shd w:val="clear" w:color="auto" w:fill="FFFFFF"/>
        <w:spacing w:after="0" w:line="240" w:lineRule="auto"/>
        <w:ind w:left="7788"/>
        <w:rPr>
          <w:color w:val="222222"/>
          <w:sz w:val="24"/>
          <w:szCs w:val="24"/>
        </w:rPr>
      </w:pPr>
    </w:p>
    <w:p w14:paraId="0F5CD38E" w14:textId="77777777" w:rsidR="006B1F12" w:rsidRDefault="006B1F12">
      <w:pPr>
        <w:spacing w:after="0" w:line="240" w:lineRule="auto"/>
        <w:jc w:val="center"/>
        <w:rPr>
          <w:b/>
          <w:color w:val="000000"/>
          <w:sz w:val="24"/>
          <w:szCs w:val="24"/>
          <w:u w:val="single"/>
        </w:rPr>
      </w:pPr>
    </w:p>
    <w:p w14:paraId="0F5CD38F" w14:textId="77777777" w:rsidR="006B1F12" w:rsidRDefault="006B1F12">
      <w:pPr>
        <w:spacing w:after="0" w:line="240" w:lineRule="auto"/>
        <w:jc w:val="center"/>
        <w:rPr>
          <w:b/>
          <w:color w:val="000000"/>
          <w:sz w:val="24"/>
          <w:szCs w:val="24"/>
          <w:u w:val="single"/>
        </w:rPr>
      </w:pPr>
    </w:p>
    <w:p w14:paraId="0F5CD390" w14:textId="77777777" w:rsidR="006B1F12" w:rsidRDefault="006B1F12">
      <w:pPr>
        <w:spacing w:after="0" w:line="240" w:lineRule="auto"/>
        <w:jc w:val="center"/>
        <w:rPr>
          <w:b/>
          <w:color w:val="000000"/>
          <w:sz w:val="24"/>
          <w:szCs w:val="24"/>
          <w:u w:val="single"/>
        </w:rPr>
      </w:pPr>
    </w:p>
    <w:p w14:paraId="0F5CD391" w14:textId="77777777" w:rsidR="006B1F12" w:rsidRDefault="006B1F12">
      <w:pPr>
        <w:spacing w:after="0" w:line="240" w:lineRule="auto"/>
        <w:jc w:val="center"/>
        <w:rPr>
          <w:b/>
          <w:color w:val="000000"/>
          <w:sz w:val="24"/>
          <w:szCs w:val="24"/>
          <w:u w:val="single"/>
        </w:rPr>
      </w:pPr>
    </w:p>
    <w:p w14:paraId="0F5CD392" w14:textId="77777777" w:rsidR="006B1F12" w:rsidRDefault="006B1F12">
      <w:pPr>
        <w:spacing w:after="0" w:line="240" w:lineRule="auto"/>
        <w:jc w:val="center"/>
        <w:rPr>
          <w:b/>
          <w:color w:val="000000"/>
          <w:sz w:val="24"/>
          <w:szCs w:val="24"/>
          <w:u w:val="single"/>
        </w:rPr>
      </w:pPr>
    </w:p>
    <w:p w14:paraId="0F5CD393" w14:textId="77777777" w:rsidR="006B1F12" w:rsidRDefault="006B1F12">
      <w:pPr>
        <w:spacing w:after="0" w:line="240" w:lineRule="auto"/>
        <w:jc w:val="center"/>
        <w:rPr>
          <w:b/>
          <w:color w:val="000000"/>
          <w:sz w:val="32"/>
          <w:szCs w:val="32"/>
          <w:u w:val="single"/>
        </w:rPr>
      </w:pPr>
    </w:p>
    <w:p w14:paraId="0F5CD394" w14:textId="77777777" w:rsidR="006B1F12" w:rsidRDefault="006B1F12">
      <w:pPr>
        <w:spacing w:after="0" w:line="240" w:lineRule="auto"/>
        <w:jc w:val="center"/>
        <w:rPr>
          <w:b/>
          <w:color w:val="000000"/>
          <w:sz w:val="32"/>
          <w:szCs w:val="32"/>
          <w:u w:val="single"/>
        </w:rPr>
      </w:pPr>
    </w:p>
    <w:p w14:paraId="0F5CD395" w14:textId="77777777" w:rsidR="006B1F12" w:rsidRDefault="006B1F12">
      <w:pPr>
        <w:spacing w:after="0" w:line="240" w:lineRule="auto"/>
        <w:jc w:val="center"/>
        <w:rPr>
          <w:b/>
          <w:color w:val="000000"/>
          <w:sz w:val="32"/>
          <w:szCs w:val="32"/>
          <w:u w:val="single"/>
        </w:rPr>
      </w:pPr>
    </w:p>
    <w:p w14:paraId="0F5CD396" w14:textId="77777777" w:rsidR="006B1F12" w:rsidRDefault="006B1F12">
      <w:pPr>
        <w:spacing w:after="0" w:line="240" w:lineRule="auto"/>
        <w:jc w:val="center"/>
        <w:rPr>
          <w:b/>
          <w:color w:val="000000"/>
          <w:sz w:val="32"/>
          <w:szCs w:val="32"/>
          <w:u w:val="single"/>
        </w:rPr>
      </w:pPr>
    </w:p>
    <w:p w14:paraId="0F5CD397" w14:textId="77777777" w:rsidR="006B1F12" w:rsidRDefault="00495819">
      <w:pPr>
        <w:spacing w:after="0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ЗАПИТ ПРОПОЗИЦІЙ Q1-T365-ITB</w:t>
      </w:r>
    </w:p>
    <w:p w14:paraId="0F5CD398" w14:textId="77777777" w:rsidR="006B1F12" w:rsidRDefault="00495819">
      <w:pPr>
        <w:spacing w:after="0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на послуги зовнішнього аудиту </w:t>
      </w:r>
      <w:proofErr w:type="spellStart"/>
      <w:r>
        <w:rPr>
          <w:b/>
          <w:color w:val="000000"/>
          <w:sz w:val="32"/>
          <w:szCs w:val="32"/>
        </w:rPr>
        <w:t>проєкту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Peace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Winds</w:t>
      </w:r>
      <w:proofErr w:type="spellEnd"/>
      <w:r>
        <w:rPr>
          <w:b/>
          <w:color w:val="000000"/>
          <w:sz w:val="32"/>
          <w:szCs w:val="32"/>
        </w:rPr>
        <w:t xml:space="preserve"> </w:t>
      </w:r>
      <w:proofErr w:type="spellStart"/>
      <w:r>
        <w:rPr>
          <w:b/>
          <w:color w:val="000000"/>
          <w:sz w:val="32"/>
          <w:szCs w:val="32"/>
        </w:rPr>
        <w:t>Japan</w:t>
      </w:r>
      <w:proofErr w:type="spellEnd"/>
    </w:p>
    <w:p w14:paraId="0F5CD399" w14:textId="77777777" w:rsidR="006B1F12" w:rsidRDefault="006B1F12">
      <w:pPr>
        <w:spacing w:after="0" w:line="240" w:lineRule="auto"/>
        <w:jc w:val="center"/>
        <w:rPr>
          <w:b/>
          <w:color w:val="000000"/>
          <w:sz w:val="32"/>
          <w:szCs w:val="32"/>
          <w:u w:val="single"/>
        </w:rPr>
      </w:pPr>
    </w:p>
    <w:p w14:paraId="0F5CD39A" w14:textId="77777777" w:rsidR="006B1F12" w:rsidRDefault="00495819">
      <w:pPr>
        <w:spacing w:after="0" w:line="240" w:lineRule="auto"/>
        <w:jc w:val="center"/>
        <w:rPr>
          <w:b/>
          <w:color w:val="000000"/>
          <w:sz w:val="32"/>
          <w:szCs w:val="32"/>
        </w:rPr>
      </w:pPr>
      <w:r>
        <w:rPr>
          <w:color w:val="000000"/>
          <w:sz w:val="28"/>
          <w:szCs w:val="28"/>
        </w:rPr>
        <w:t>для</w:t>
      </w:r>
      <w:r>
        <w:rPr>
          <w:b/>
          <w:color w:val="000000"/>
          <w:sz w:val="32"/>
          <w:szCs w:val="32"/>
        </w:rPr>
        <w:t xml:space="preserve"> БЛАГОДІЙНОЇ ОРГАНІЗАЦІЇ</w:t>
      </w:r>
    </w:p>
    <w:p w14:paraId="0F5CD39B" w14:textId="77777777" w:rsidR="006B1F12" w:rsidRDefault="00495819">
      <w:pPr>
        <w:spacing w:after="0" w:line="24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«БЛАГОДІЙНИЙ ФОНД «ПРАВО НА ЗАХИСТ»</w:t>
      </w:r>
    </w:p>
    <w:p w14:paraId="0F5CD39C" w14:textId="77777777" w:rsidR="006B1F12" w:rsidRDefault="006B1F12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0F5CD39D" w14:textId="77777777" w:rsidR="006B1F12" w:rsidRDefault="006B1F12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0F5CD39E" w14:textId="77777777" w:rsidR="006B1F12" w:rsidRDefault="006B1F12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0F5CD39F" w14:textId="77777777" w:rsidR="006B1F12" w:rsidRDefault="006B1F12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14:paraId="0F5CD3A0" w14:textId="77777777" w:rsidR="006B1F12" w:rsidRDefault="006B1F12">
      <w:pPr>
        <w:spacing w:after="0" w:line="240" w:lineRule="auto"/>
        <w:jc w:val="center"/>
        <w:rPr>
          <w:b/>
          <w:color w:val="000000"/>
          <w:sz w:val="24"/>
          <w:szCs w:val="24"/>
          <w:u w:val="single"/>
        </w:rPr>
      </w:pPr>
    </w:p>
    <w:p w14:paraId="0F5CD3A1" w14:textId="77777777" w:rsidR="006B1F12" w:rsidRDefault="006B1F12">
      <w:pPr>
        <w:spacing w:after="0" w:line="240" w:lineRule="auto"/>
        <w:jc w:val="center"/>
        <w:rPr>
          <w:b/>
          <w:color w:val="000000"/>
          <w:sz w:val="24"/>
          <w:szCs w:val="24"/>
          <w:u w:val="single"/>
        </w:rPr>
      </w:pPr>
    </w:p>
    <w:p w14:paraId="0F5CD3A2" w14:textId="77777777" w:rsidR="006B1F12" w:rsidRDefault="006B1F12">
      <w:pPr>
        <w:spacing w:after="0" w:line="240" w:lineRule="auto"/>
        <w:jc w:val="center"/>
        <w:rPr>
          <w:b/>
          <w:color w:val="000000"/>
          <w:sz w:val="24"/>
          <w:szCs w:val="24"/>
          <w:u w:val="single"/>
        </w:rPr>
      </w:pPr>
    </w:p>
    <w:p w14:paraId="0F5CD3A3" w14:textId="77777777" w:rsidR="006B1F12" w:rsidRDefault="006B1F12">
      <w:pPr>
        <w:spacing w:after="0" w:line="240" w:lineRule="auto"/>
        <w:jc w:val="center"/>
        <w:rPr>
          <w:b/>
          <w:color w:val="000000"/>
          <w:sz w:val="24"/>
          <w:szCs w:val="24"/>
          <w:u w:val="single"/>
        </w:rPr>
      </w:pPr>
    </w:p>
    <w:p w14:paraId="0F5CD3A4" w14:textId="77777777" w:rsidR="006B1F12" w:rsidRDefault="006B1F12">
      <w:pPr>
        <w:spacing w:after="0" w:line="240" w:lineRule="auto"/>
        <w:jc w:val="center"/>
        <w:rPr>
          <w:b/>
          <w:color w:val="000000"/>
          <w:sz w:val="24"/>
          <w:szCs w:val="24"/>
          <w:u w:val="single"/>
        </w:rPr>
      </w:pPr>
    </w:p>
    <w:p w14:paraId="0F5CD3A5" w14:textId="77777777" w:rsidR="006B1F12" w:rsidRDefault="006B1F12">
      <w:pPr>
        <w:spacing w:after="0" w:line="240" w:lineRule="auto"/>
        <w:jc w:val="center"/>
        <w:rPr>
          <w:b/>
          <w:color w:val="000000"/>
          <w:sz w:val="24"/>
          <w:szCs w:val="24"/>
          <w:u w:val="single"/>
        </w:rPr>
      </w:pPr>
    </w:p>
    <w:p w14:paraId="0F5CD3A6" w14:textId="77777777" w:rsidR="006B1F12" w:rsidRDefault="006B1F12">
      <w:pPr>
        <w:spacing w:after="0" w:line="240" w:lineRule="auto"/>
        <w:jc w:val="center"/>
        <w:rPr>
          <w:b/>
          <w:color w:val="000000"/>
          <w:sz w:val="24"/>
          <w:szCs w:val="24"/>
          <w:u w:val="single"/>
        </w:rPr>
      </w:pPr>
    </w:p>
    <w:p w14:paraId="0F5CD3A7" w14:textId="77777777" w:rsidR="006B1F12" w:rsidRDefault="006B1F12">
      <w:pPr>
        <w:spacing w:after="0" w:line="240" w:lineRule="auto"/>
        <w:jc w:val="center"/>
        <w:rPr>
          <w:b/>
          <w:color w:val="000000"/>
          <w:sz w:val="24"/>
          <w:szCs w:val="24"/>
          <w:u w:val="single"/>
        </w:rPr>
      </w:pPr>
    </w:p>
    <w:p w14:paraId="0F5CD3A8" w14:textId="77777777" w:rsidR="006B1F12" w:rsidRDefault="006B1F12">
      <w:pPr>
        <w:spacing w:after="0" w:line="240" w:lineRule="auto"/>
        <w:jc w:val="center"/>
        <w:rPr>
          <w:b/>
          <w:color w:val="000000"/>
          <w:sz w:val="24"/>
          <w:szCs w:val="24"/>
          <w:u w:val="single"/>
        </w:rPr>
      </w:pPr>
    </w:p>
    <w:p w14:paraId="0F5CD3A9" w14:textId="77777777" w:rsidR="006B1F12" w:rsidRDefault="006B1F12">
      <w:pPr>
        <w:spacing w:after="0" w:line="240" w:lineRule="auto"/>
        <w:jc w:val="center"/>
        <w:rPr>
          <w:b/>
          <w:color w:val="000000"/>
          <w:sz w:val="24"/>
          <w:szCs w:val="24"/>
          <w:u w:val="single"/>
        </w:rPr>
      </w:pPr>
    </w:p>
    <w:p w14:paraId="0F5CD3AA" w14:textId="77777777" w:rsidR="006B1F12" w:rsidRDefault="006B1F12">
      <w:pPr>
        <w:spacing w:after="0" w:line="240" w:lineRule="auto"/>
        <w:jc w:val="center"/>
        <w:rPr>
          <w:b/>
          <w:color w:val="000000"/>
          <w:sz w:val="24"/>
          <w:szCs w:val="24"/>
          <w:u w:val="single"/>
        </w:rPr>
      </w:pPr>
    </w:p>
    <w:p w14:paraId="0F5CD3AB" w14:textId="77777777" w:rsidR="006B1F12" w:rsidRDefault="006B1F12">
      <w:pPr>
        <w:spacing w:after="0" w:line="240" w:lineRule="auto"/>
        <w:rPr>
          <w:b/>
          <w:color w:val="000000"/>
          <w:sz w:val="24"/>
          <w:szCs w:val="24"/>
        </w:rPr>
      </w:pPr>
    </w:p>
    <w:p w14:paraId="0F5CD3AC" w14:textId="77777777" w:rsidR="006B1F12" w:rsidRDefault="006B1F12">
      <w:pPr>
        <w:spacing w:after="0" w:line="240" w:lineRule="auto"/>
        <w:rPr>
          <w:b/>
          <w:color w:val="000000"/>
          <w:sz w:val="24"/>
          <w:szCs w:val="24"/>
        </w:rPr>
      </w:pPr>
    </w:p>
    <w:p w14:paraId="0F5CD3AD" w14:textId="77777777" w:rsidR="006B1F12" w:rsidRDefault="006B1F12">
      <w:pPr>
        <w:spacing w:after="0" w:line="240" w:lineRule="auto"/>
        <w:rPr>
          <w:b/>
          <w:color w:val="000000"/>
          <w:sz w:val="24"/>
          <w:szCs w:val="24"/>
        </w:rPr>
      </w:pPr>
    </w:p>
    <w:p w14:paraId="0F5CD3AE" w14:textId="77777777" w:rsidR="006B1F12" w:rsidRDefault="006B1F12">
      <w:pPr>
        <w:spacing w:after="0" w:line="240" w:lineRule="auto"/>
        <w:rPr>
          <w:b/>
          <w:color w:val="000000"/>
          <w:sz w:val="24"/>
          <w:szCs w:val="24"/>
        </w:rPr>
      </w:pPr>
    </w:p>
    <w:p w14:paraId="0F5CD3AF" w14:textId="77777777" w:rsidR="006B1F12" w:rsidRDefault="006B1F12">
      <w:pPr>
        <w:spacing w:after="0" w:line="240" w:lineRule="auto"/>
        <w:rPr>
          <w:b/>
          <w:color w:val="000000"/>
          <w:sz w:val="24"/>
          <w:szCs w:val="24"/>
        </w:rPr>
      </w:pPr>
    </w:p>
    <w:p w14:paraId="0F5CD3B0" w14:textId="77777777" w:rsidR="006B1F12" w:rsidRDefault="006B1F12">
      <w:pPr>
        <w:spacing w:after="0" w:line="240" w:lineRule="auto"/>
        <w:rPr>
          <w:b/>
          <w:color w:val="000000"/>
          <w:sz w:val="24"/>
          <w:szCs w:val="24"/>
        </w:rPr>
      </w:pPr>
    </w:p>
    <w:p w14:paraId="0F5CD3B1" w14:textId="77777777" w:rsidR="006B1F12" w:rsidRDefault="006B1F12">
      <w:pPr>
        <w:spacing w:after="0" w:line="240" w:lineRule="auto"/>
        <w:rPr>
          <w:b/>
          <w:color w:val="000000"/>
          <w:sz w:val="24"/>
          <w:szCs w:val="24"/>
        </w:rPr>
      </w:pPr>
    </w:p>
    <w:p w14:paraId="0F5CD3B2" w14:textId="77777777" w:rsidR="006B1F12" w:rsidRDefault="006B1F12">
      <w:pPr>
        <w:spacing w:after="0" w:line="240" w:lineRule="auto"/>
        <w:rPr>
          <w:b/>
          <w:color w:val="000000"/>
          <w:sz w:val="24"/>
          <w:szCs w:val="24"/>
        </w:rPr>
      </w:pPr>
    </w:p>
    <w:p w14:paraId="0F5CD3B3" w14:textId="77777777" w:rsidR="006B1F12" w:rsidRDefault="006B1F12">
      <w:pPr>
        <w:spacing w:after="0" w:line="240" w:lineRule="auto"/>
        <w:rPr>
          <w:b/>
          <w:color w:val="000000"/>
          <w:sz w:val="24"/>
          <w:szCs w:val="24"/>
        </w:rPr>
      </w:pPr>
    </w:p>
    <w:p w14:paraId="0F5CD3B4" w14:textId="77777777" w:rsidR="006B1F12" w:rsidRDefault="00495819">
      <w:pP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Київ, 2023</w:t>
      </w:r>
    </w:p>
    <w:p w14:paraId="0F5CD3B5" w14:textId="77777777" w:rsidR="006B1F12" w:rsidRDefault="00495819">
      <w:pPr>
        <w:pStyle w:val="1"/>
        <w:spacing w:after="0"/>
        <w:rPr>
          <w:rFonts w:ascii="Calibri" w:eastAsia="Calibri" w:hAnsi="Calibri" w:cs="Calibri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</w:rPr>
        <w:lastRenderedPageBreak/>
        <w:t>Вступ</w:t>
      </w:r>
    </w:p>
    <w:p w14:paraId="0F5CD3B6" w14:textId="77777777" w:rsidR="006B1F12" w:rsidRDefault="006B1F12">
      <w:pPr>
        <w:spacing w:after="0" w:line="240" w:lineRule="auto"/>
        <w:jc w:val="both"/>
      </w:pPr>
    </w:p>
    <w:p w14:paraId="0F5CD3B7" w14:textId="77777777" w:rsidR="006B1F12" w:rsidRDefault="00495819">
      <w:pPr>
        <w:pStyle w:val="2"/>
        <w:spacing w:before="0" w:line="240" w:lineRule="auto"/>
        <w:jc w:val="both"/>
      </w:pPr>
      <w:bookmarkStart w:id="1" w:name="_heading=h.30j0zll" w:colFirst="0" w:colLast="0"/>
      <w:bookmarkEnd w:id="1"/>
      <w:r>
        <w:rPr>
          <w:sz w:val="24"/>
          <w:szCs w:val="24"/>
        </w:rPr>
        <w:t>Інформація про БФ «ПРАВО НА ЗАХИСТ»</w:t>
      </w:r>
    </w:p>
    <w:p w14:paraId="0F5CD3B8" w14:textId="77777777" w:rsidR="006B1F12" w:rsidRDefault="00495819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БЛАГОДІЙНА ОРГАНІЗАЦІЯ «БЛАГОДІЙНИЙ ФОНД «ПРАВО НА ЗАХИСТ» </w:t>
      </w:r>
      <w:r>
        <w:rPr>
          <w:sz w:val="24"/>
          <w:szCs w:val="24"/>
        </w:rPr>
        <w:t>- ц</w:t>
      </w:r>
      <w:r>
        <w:rPr>
          <w:color w:val="000000"/>
          <w:sz w:val="24"/>
          <w:szCs w:val="24"/>
        </w:rPr>
        <w:t>е благодійна організація і є одним із лідерів правозахисного руху в Україні - захист прав ВПО, біженців, осіб без громадянства, переселенців та людей з інвалідністю.</w:t>
      </w:r>
    </w:p>
    <w:p w14:paraId="0F5CD3B9" w14:textId="77777777" w:rsidR="006B1F12" w:rsidRDefault="0049581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Додаткова інформація на веб-</w:t>
      </w:r>
      <w:r>
        <w:rPr>
          <w:sz w:val="24"/>
          <w:szCs w:val="24"/>
        </w:rPr>
        <w:t xml:space="preserve">сайт </w:t>
      </w:r>
      <w:hyperlink r:id="rId8">
        <w:r>
          <w:rPr>
            <w:color w:val="0000FF"/>
            <w:sz w:val="24"/>
            <w:szCs w:val="24"/>
            <w:u w:val="single"/>
          </w:rPr>
          <w:t>https://r2p.org.ua/</w:t>
        </w:r>
      </w:hyperlink>
      <w:r>
        <w:rPr>
          <w:sz w:val="24"/>
          <w:szCs w:val="24"/>
        </w:rPr>
        <w:t>.</w:t>
      </w:r>
    </w:p>
    <w:p w14:paraId="0F5CD3BA" w14:textId="77777777" w:rsidR="006B1F12" w:rsidRDefault="006B1F12">
      <w:pPr>
        <w:spacing w:after="0" w:line="240" w:lineRule="auto"/>
        <w:jc w:val="both"/>
        <w:rPr>
          <w:sz w:val="24"/>
          <w:szCs w:val="24"/>
        </w:rPr>
      </w:pPr>
    </w:p>
    <w:p w14:paraId="0F5CD3BB" w14:textId="77777777" w:rsidR="006B1F12" w:rsidRDefault="00495819">
      <w:pPr>
        <w:pStyle w:val="2"/>
        <w:numPr>
          <w:ilvl w:val="1"/>
          <w:numId w:val="2"/>
        </w:numPr>
        <w:spacing w:before="0" w:line="240" w:lineRule="auto"/>
        <w:jc w:val="both"/>
      </w:pPr>
      <w:r>
        <w:rPr>
          <w:sz w:val="24"/>
          <w:szCs w:val="24"/>
        </w:rPr>
        <w:t xml:space="preserve">Запрошення до участі </w:t>
      </w:r>
    </w:p>
    <w:p w14:paraId="0F5CD3BC" w14:textId="77777777" w:rsidR="006B1F12" w:rsidRDefault="00495819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БФ «ПРАВО НА ЗАХИСТ» </w:t>
      </w:r>
      <w:r>
        <w:rPr>
          <w:color w:val="000000"/>
          <w:sz w:val="24"/>
          <w:szCs w:val="24"/>
        </w:rPr>
        <w:t>запрошує до подання пропозицій щодо надання послуг зовнішнього аудиту проекту на основі Технічного завдання, вимог і умов, встановлених у цьому Запиті пропозицій.</w:t>
      </w:r>
    </w:p>
    <w:p w14:paraId="0F5CD3BD" w14:textId="77777777" w:rsidR="006B1F12" w:rsidRDefault="00495819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0F5CD3BE" w14:textId="77777777" w:rsidR="006B1F12" w:rsidRDefault="00495819">
      <w:pP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Мета цього RFP - визначення постачальника послуг зовнішнього аудиту проекту, що фінансувалися за кошт </w:t>
      </w:r>
      <w:proofErr w:type="spellStart"/>
      <w:r>
        <w:rPr>
          <w:sz w:val="24"/>
          <w:szCs w:val="24"/>
        </w:rPr>
        <w:t>Japan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Platform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Foundation</w:t>
      </w:r>
      <w:proofErr w:type="spellEnd"/>
      <w:r>
        <w:rPr>
          <w:sz w:val="24"/>
          <w:szCs w:val="24"/>
        </w:rPr>
        <w:t xml:space="preserve"> за посередництва </w:t>
      </w:r>
      <w:proofErr w:type="spellStart"/>
      <w:r>
        <w:rPr>
          <w:sz w:val="24"/>
          <w:szCs w:val="24"/>
        </w:rPr>
        <w:t>Peace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Winds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Japan</w:t>
      </w:r>
      <w:proofErr w:type="spellEnd"/>
      <w:r>
        <w:rPr>
          <w:color w:val="000000"/>
          <w:sz w:val="24"/>
          <w:szCs w:val="24"/>
        </w:rPr>
        <w:t>, та впроваджувалися БФ «ПРАВО НА ЗАХИСТ» у період 01.10.2022 – 31.05.2023.</w:t>
      </w:r>
    </w:p>
    <w:p w14:paraId="0F5CD3BF" w14:textId="77777777" w:rsidR="006B1F12" w:rsidRDefault="006B1F12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0F5CD3C0" w14:textId="77777777" w:rsidR="006B1F12" w:rsidRDefault="00495819">
      <w:pPr>
        <w:spacing w:after="0" w:line="240" w:lineRule="auto"/>
        <w:jc w:val="both"/>
        <w:rPr>
          <w:color w:val="000000"/>
          <w:sz w:val="24"/>
          <w:szCs w:val="24"/>
        </w:rPr>
      </w:pPr>
      <w:bookmarkStart w:id="2" w:name="_heading=h.2et92p0" w:colFirst="0" w:colLast="0"/>
      <w:bookmarkEnd w:id="2"/>
      <w:r>
        <w:rPr>
          <w:color w:val="000000"/>
          <w:sz w:val="24"/>
          <w:szCs w:val="24"/>
        </w:rPr>
        <w:t>Аудиту підлягають</w:t>
      </w:r>
      <w:r>
        <w:rPr>
          <w:color w:val="000000"/>
          <w:sz w:val="24"/>
          <w:szCs w:val="24"/>
        </w:rPr>
        <w:t xml:space="preserve"> витрати, понесені в рамках 1 </w:t>
      </w:r>
      <w:proofErr w:type="spellStart"/>
      <w:r>
        <w:rPr>
          <w:color w:val="000000"/>
          <w:sz w:val="24"/>
          <w:szCs w:val="24"/>
        </w:rPr>
        <w:t>проєкту</w:t>
      </w:r>
      <w:proofErr w:type="spellEnd"/>
      <w:r>
        <w:rPr>
          <w:color w:val="000000"/>
          <w:sz w:val="24"/>
          <w:szCs w:val="24"/>
        </w:rPr>
        <w:t xml:space="preserve"> за 2022- 2023 р.</w:t>
      </w:r>
    </w:p>
    <w:p w14:paraId="0F5CD3C1" w14:textId="77777777" w:rsidR="006B1F12" w:rsidRDefault="006B1F12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0F5CD3C2" w14:textId="77777777" w:rsidR="006B1F12" w:rsidRDefault="00495819">
      <w:pPr>
        <w:pStyle w:val="2"/>
        <w:numPr>
          <w:ilvl w:val="1"/>
          <w:numId w:val="2"/>
        </w:numPr>
        <w:spacing w:before="0" w:line="240" w:lineRule="auto"/>
      </w:pPr>
      <w:bookmarkStart w:id="3" w:name="_heading=h.tyjcwt" w:colFirst="0" w:colLast="0"/>
      <w:bookmarkEnd w:id="3"/>
      <w:r>
        <w:rPr>
          <w:sz w:val="24"/>
          <w:szCs w:val="24"/>
        </w:rPr>
        <w:t>Запланований (попередній) розклад /строки за Київським часом</w:t>
      </w:r>
    </w:p>
    <w:tbl>
      <w:tblPr>
        <w:tblStyle w:val="afe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7230"/>
        <w:gridCol w:w="2664"/>
      </w:tblGrid>
      <w:tr w:rsidR="006B1F12" w14:paraId="0F5CD3C6" w14:textId="77777777">
        <w:tc>
          <w:tcPr>
            <w:tcW w:w="562" w:type="dxa"/>
          </w:tcPr>
          <w:p w14:paraId="0F5CD3C3" w14:textId="77777777" w:rsidR="006B1F12" w:rsidRDefault="004958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230" w:type="dxa"/>
          </w:tcPr>
          <w:p w14:paraId="0F5CD3C4" w14:textId="77777777" w:rsidR="006B1F12" w:rsidRDefault="004958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процес</w:t>
            </w:r>
          </w:p>
        </w:tc>
        <w:tc>
          <w:tcPr>
            <w:tcW w:w="2664" w:type="dxa"/>
          </w:tcPr>
          <w:p w14:paraId="0F5CD3C5" w14:textId="77777777" w:rsidR="006B1F12" w:rsidRDefault="004958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</w:t>
            </w:r>
          </w:p>
        </w:tc>
      </w:tr>
      <w:tr w:rsidR="006B1F12" w14:paraId="0F5CD3CA" w14:textId="77777777">
        <w:tc>
          <w:tcPr>
            <w:tcW w:w="562" w:type="dxa"/>
          </w:tcPr>
          <w:p w14:paraId="0F5CD3C7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230" w:type="dxa"/>
          </w:tcPr>
          <w:p w14:paraId="0F5CD3C8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Оприлюднення RFP</w:t>
            </w:r>
          </w:p>
        </w:tc>
        <w:tc>
          <w:tcPr>
            <w:tcW w:w="2664" w:type="dxa"/>
            <w:shd w:val="clear" w:color="auto" w:fill="auto"/>
          </w:tcPr>
          <w:p w14:paraId="0F5CD3C9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30.03.2023</w:t>
            </w:r>
          </w:p>
        </w:tc>
      </w:tr>
      <w:tr w:rsidR="006B1F12" w14:paraId="0F5CD3CE" w14:textId="77777777">
        <w:tc>
          <w:tcPr>
            <w:tcW w:w="562" w:type="dxa"/>
          </w:tcPr>
          <w:p w14:paraId="0F5CD3CB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230" w:type="dxa"/>
          </w:tcPr>
          <w:p w14:paraId="0F5CD3CC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Кінцевий термін подання пропозицій</w:t>
            </w:r>
          </w:p>
        </w:tc>
        <w:tc>
          <w:tcPr>
            <w:tcW w:w="2664" w:type="dxa"/>
            <w:shd w:val="clear" w:color="auto" w:fill="auto"/>
          </w:tcPr>
          <w:p w14:paraId="0F5CD3CD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11.04.2023 до 10:00</w:t>
            </w:r>
          </w:p>
        </w:tc>
      </w:tr>
      <w:tr w:rsidR="006B1F12" w14:paraId="0F5CD3D2" w14:textId="77777777">
        <w:tc>
          <w:tcPr>
            <w:tcW w:w="562" w:type="dxa"/>
          </w:tcPr>
          <w:p w14:paraId="0F5CD3CF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230" w:type="dxa"/>
          </w:tcPr>
          <w:p w14:paraId="0F5CD3D0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 організації</w:t>
            </w:r>
          </w:p>
        </w:tc>
        <w:tc>
          <w:tcPr>
            <w:tcW w:w="2664" w:type="dxa"/>
            <w:shd w:val="clear" w:color="auto" w:fill="auto"/>
          </w:tcPr>
          <w:p w14:paraId="0F5CD3D1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12.04.2023</w:t>
            </w:r>
          </w:p>
        </w:tc>
      </w:tr>
      <w:tr w:rsidR="006B1F12" w14:paraId="0F5CD3D6" w14:textId="77777777">
        <w:tc>
          <w:tcPr>
            <w:tcW w:w="562" w:type="dxa"/>
          </w:tcPr>
          <w:p w14:paraId="0F5CD3D3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230" w:type="dxa"/>
          </w:tcPr>
          <w:p w14:paraId="0F5CD3D4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Підписання договору</w:t>
            </w:r>
          </w:p>
        </w:tc>
        <w:tc>
          <w:tcPr>
            <w:tcW w:w="2664" w:type="dxa"/>
            <w:shd w:val="clear" w:color="auto" w:fill="auto"/>
          </w:tcPr>
          <w:p w14:paraId="0F5CD3D5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18.04.2023</w:t>
            </w:r>
          </w:p>
        </w:tc>
      </w:tr>
      <w:tr w:rsidR="006B1F12" w14:paraId="0F5CD3DA" w14:textId="77777777">
        <w:tc>
          <w:tcPr>
            <w:tcW w:w="562" w:type="dxa"/>
          </w:tcPr>
          <w:p w14:paraId="0F5CD3D7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230" w:type="dxa"/>
          </w:tcPr>
          <w:p w14:paraId="0F5CD3D8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Проведення аудиту </w:t>
            </w:r>
          </w:p>
        </w:tc>
        <w:tc>
          <w:tcPr>
            <w:tcW w:w="2664" w:type="dxa"/>
            <w:shd w:val="clear" w:color="auto" w:fill="auto"/>
          </w:tcPr>
          <w:p w14:paraId="0F5CD3D9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01.06.2023 - 30.06.2023</w:t>
            </w:r>
          </w:p>
        </w:tc>
      </w:tr>
      <w:tr w:rsidR="006B1F12" w14:paraId="0F5CD3DE" w14:textId="77777777">
        <w:tc>
          <w:tcPr>
            <w:tcW w:w="562" w:type="dxa"/>
          </w:tcPr>
          <w:p w14:paraId="0F5CD3DB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230" w:type="dxa"/>
          </w:tcPr>
          <w:p w14:paraId="0F5CD3DC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Підготовка та надання </w:t>
            </w:r>
            <w:proofErr w:type="spellStart"/>
            <w:r>
              <w:rPr>
                <w:sz w:val="24"/>
                <w:szCs w:val="24"/>
              </w:rPr>
              <w:t>проєкту</w:t>
            </w:r>
            <w:proofErr w:type="spellEnd"/>
            <w:r>
              <w:rPr>
                <w:sz w:val="24"/>
                <w:szCs w:val="24"/>
              </w:rPr>
              <w:t xml:space="preserve"> звіту БФ «ПРАВО НА ЗАХИСТ»</w:t>
            </w:r>
          </w:p>
        </w:tc>
        <w:tc>
          <w:tcPr>
            <w:tcW w:w="2664" w:type="dxa"/>
            <w:shd w:val="clear" w:color="auto" w:fill="auto"/>
          </w:tcPr>
          <w:p w14:paraId="0F5CD3DD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30.06.2023 - 05.07.2023</w:t>
            </w:r>
          </w:p>
        </w:tc>
      </w:tr>
      <w:tr w:rsidR="006B1F12" w14:paraId="0F5CD3E2" w14:textId="77777777">
        <w:tc>
          <w:tcPr>
            <w:tcW w:w="562" w:type="dxa"/>
          </w:tcPr>
          <w:p w14:paraId="0F5CD3DF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230" w:type="dxa"/>
          </w:tcPr>
          <w:p w14:paraId="0F5CD3E0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Надання фінального офіційного звіту (максимальні)</w:t>
            </w:r>
          </w:p>
        </w:tc>
        <w:tc>
          <w:tcPr>
            <w:tcW w:w="2664" w:type="dxa"/>
            <w:shd w:val="clear" w:color="auto" w:fill="auto"/>
          </w:tcPr>
          <w:p w14:paraId="0F5CD3E1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07.07.2023</w:t>
            </w:r>
          </w:p>
        </w:tc>
      </w:tr>
    </w:tbl>
    <w:p w14:paraId="0F5CD3E3" w14:textId="77777777" w:rsidR="006B1F12" w:rsidRDefault="006B1F12">
      <w:pPr>
        <w:pStyle w:val="2"/>
        <w:spacing w:before="0" w:line="240" w:lineRule="auto"/>
        <w:rPr>
          <w:sz w:val="24"/>
          <w:szCs w:val="24"/>
        </w:rPr>
      </w:pPr>
      <w:bookmarkStart w:id="4" w:name="_heading=h.3dy6vkm" w:colFirst="0" w:colLast="0"/>
      <w:bookmarkEnd w:id="4"/>
    </w:p>
    <w:p w14:paraId="0F5CD3E4" w14:textId="77777777" w:rsidR="006B1F12" w:rsidRDefault="00495819">
      <w:pPr>
        <w:pStyle w:val="2"/>
        <w:numPr>
          <w:ilvl w:val="1"/>
          <w:numId w:val="2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Контакти БФ «ПРАВО НА ЗАХИСТ»  та спосіб подання пропозицій</w:t>
      </w:r>
    </w:p>
    <w:p w14:paraId="0F5CD3E5" w14:textId="77777777" w:rsidR="006B1F12" w:rsidRDefault="00495819">
      <w:pPr>
        <w:spacing w:after="0" w:line="240" w:lineRule="auto"/>
        <w:jc w:val="both"/>
        <w:rPr>
          <w:b/>
          <w:color w:val="0000FF"/>
          <w:sz w:val="24"/>
          <w:szCs w:val="24"/>
          <w:u w:val="single"/>
        </w:rPr>
      </w:pPr>
      <w:r>
        <w:rPr>
          <w:sz w:val="24"/>
          <w:szCs w:val="24"/>
        </w:rPr>
        <w:t xml:space="preserve">Контактна особа для отримання відповідей на питання щодо тендеру: Тетяна Шевчук, </w:t>
      </w:r>
      <w:hyperlink r:id="rId9">
        <w:r>
          <w:rPr>
            <w:b/>
            <w:color w:val="0000FF"/>
            <w:sz w:val="24"/>
            <w:szCs w:val="24"/>
            <w:u w:val="single"/>
          </w:rPr>
          <w:t>t.shevchuk@r2p.org.ua</w:t>
        </w:r>
      </w:hyperlink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тел</w:t>
      </w:r>
      <w:proofErr w:type="spellEnd"/>
      <w:r>
        <w:rPr>
          <w:sz w:val="24"/>
          <w:szCs w:val="24"/>
        </w:rPr>
        <w:t>: +380959130805</w:t>
      </w:r>
    </w:p>
    <w:p w14:paraId="0F5CD3E6" w14:textId="77777777" w:rsidR="006B1F12" w:rsidRDefault="006B1F12">
      <w:pPr>
        <w:spacing w:after="0" w:line="240" w:lineRule="auto"/>
        <w:jc w:val="both"/>
        <w:rPr>
          <w:sz w:val="24"/>
          <w:szCs w:val="24"/>
          <w:highlight w:val="yellow"/>
        </w:rPr>
      </w:pPr>
    </w:p>
    <w:p w14:paraId="0F5CD3E7" w14:textId="77777777" w:rsidR="006B1F12" w:rsidRDefault="00495819">
      <w:pPr>
        <w:pStyle w:val="1"/>
        <w:numPr>
          <w:ilvl w:val="0"/>
          <w:numId w:val="2"/>
        </w:numPr>
        <w:spacing w:after="0"/>
        <w:ind w:left="0"/>
      </w:pPr>
      <w:bookmarkStart w:id="5" w:name="_heading=h.1t3h5sf" w:colFirst="0" w:colLast="0"/>
      <w:bookmarkEnd w:id="5"/>
      <w:r>
        <w:rPr>
          <w:rFonts w:ascii="Calibri" w:eastAsia="Calibri" w:hAnsi="Calibri" w:cs="Calibri"/>
        </w:rPr>
        <w:t xml:space="preserve">Інструкція щодо подання </w:t>
      </w:r>
      <w:r>
        <w:rPr>
          <w:rFonts w:ascii="Calibri" w:eastAsia="Calibri" w:hAnsi="Calibri" w:cs="Calibri"/>
        </w:rPr>
        <w:t>пропозиції</w:t>
      </w:r>
    </w:p>
    <w:p w14:paraId="0F5CD3E8" w14:textId="77777777" w:rsidR="006B1F12" w:rsidRDefault="0049581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Зацікавлена Організація має письмово надіслати свою Пропозицію </w:t>
      </w:r>
      <w:r>
        <w:rPr>
          <w:b/>
          <w:color w:val="000000"/>
          <w:sz w:val="24"/>
          <w:szCs w:val="24"/>
        </w:rPr>
        <w:t>до 10:00, 1</w:t>
      </w:r>
      <w:r>
        <w:rPr>
          <w:b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.04.2023.</w:t>
      </w:r>
    </w:p>
    <w:p w14:paraId="0F5CD3E9" w14:textId="77777777" w:rsidR="006B1F12" w:rsidRDefault="006B1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0F5CD3EA" w14:textId="77777777" w:rsidR="006B1F12" w:rsidRDefault="004958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Будь-яка відповідь, отримана після цієї дати та часу, або направлена на іншу електронну адресу, не розглядатиметься.</w:t>
      </w:r>
    </w:p>
    <w:p w14:paraId="0F5CD3EB" w14:textId="77777777" w:rsidR="006B1F12" w:rsidRDefault="006B1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0F5CD3EC" w14:textId="77777777" w:rsidR="006B1F12" w:rsidRDefault="004958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Лист повинен містити:</w:t>
      </w:r>
    </w:p>
    <w:p w14:paraId="0F5CD3ED" w14:textId="77777777" w:rsidR="006B1F12" w:rsidRDefault="004958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інформацію про Організацію</w:t>
      </w:r>
    </w:p>
    <w:p w14:paraId="0F5CD3EE" w14:textId="77777777" w:rsidR="006B1F12" w:rsidRDefault="004958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запевнення незалежності; розуміння обсягу робіт, що повинні бути виконані; цілі аудиту; перелік звітних матеріалів за результатами аудиторської перевірки; методологію та підходи аудиту; план роботи для виконання аудиторської пере</w:t>
      </w:r>
      <w:r>
        <w:rPr>
          <w:color w:val="000000"/>
          <w:sz w:val="24"/>
          <w:szCs w:val="24"/>
        </w:rPr>
        <w:t xml:space="preserve">вірки. </w:t>
      </w:r>
    </w:p>
    <w:p w14:paraId="0F5CD3EF" w14:textId="77777777" w:rsidR="006B1F12" w:rsidRDefault="004958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комерційну пропозицію в гривнях (детальний розрахунок вартості, </w:t>
      </w:r>
      <w:proofErr w:type="spellStart"/>
      <w:r>
        <w:rPr>
          <w:color w:val="000000"/>
          <w:sz w:val="24"/>
          <w:szCs w:val="24"/>
        </w:rPr>
        <w:t>вкл</w:t>
      </w:r>
      <w:proofErr w:type="spellEnd"/>
      <w:r>
        <w:rPr>
          <w:color w:val="000000"/>
          <w:sz w:val="24"/>
          <w:szCs w:val="24"/>
        </w:rPr>
        <w:t xml:space="preserve">. вартість послуг погодинно) і графік виконання робіт. </w:t>
      </w:r>
    </w:p>
    <w:p w14:paraId="0F5CD3F0" w14:textId="77777777" w:rsidR="006B1F12" w:rsidRDefault="004958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контактну особу</w:t>
      </w:r>
    </w:p>
    <w:p w14:paraId="0F5CD3F1" w14:textId="77777777" w:rsidR="006B1F12" w:rsidRDefault="006B1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0F5CD3F2" w14:textId="77777777" w:rsidR="006B1F12" w:rsidRDefault="0049581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БФ «ПРАВО НА ЗАХИСТ» залишає за собою право протягом цього процесу вибирати будь-який варіант обслуговування, який найкраще відповідає своїм бізнес-вимогам, і проводити обговорення з усіма респондентами.</w:t>
      </w:r>
    </w:p>
    <w:p w14:paraId="0F5CD3F3" w14:textId="77777777" w:rsidR="006B1F12" w:rsidRDefault="006B1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0F5CD3F4" w14:textId="77777777" w:rsidR="006B1F12" w:rsidRDefault="0049581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Зацікавлена Організація маєте погодитись на наступн</w:t>
      </w:r>
      <w:r>
        <w:rPr>
          <w:color w:val="000000"/>
          <w:sz w:val="24"/>
          <w:szCs w:val="24"/>
        </w:rPr>
        <w:t>і умови для участі у тендері:</w:t>
      </w:r>
    </w:p>
    <w:p w14:paraId="0F5CD3F5" w14:textId="77777777" w:rsidR="006B1F12" w:rsidRDefault="004958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положення та умови в Додатку 1 – це неповний перелік положень та умов, які будуть включені в угоду між обраною Організацією та БФ «ПРАВО НА ЗАХИСТ». У пропозиції Організації, поданій до БФ «ПРАВО НА ЗАХИСТ», необхідно вказати будь-які проблеми, які можуть </w:t>
      </w:r>
      <w:r>
        <w:rPr>
          <w:color w:val="000000"/>
          <w:sz w:val="24"/>
          <w:szCs w:val="24"/>
        </w:rPr>
        <w:t xml:space="preserve">виникнути під час прийняття будь-яких із цих умов. </w:t>
      </w:r>
    </w:p>
    <w:p w14:paraId="0F5CD3F6" w14:textId="77777777" w:rsidR="006B1F12" w:rsidRDefault="004958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БФ «ПРАВО НА ЗАХИСТ» не несе відповідальності за будь-які витрати, понесені Організаціями під час підготовки будь-яких відповідей або презентацій, пов’язаних із цим запитом. </w:t>
      </w:r>
    </w:p>
    <w:p w14:paraId="0F5CD3F7" w14:textId="77777777" w:rsidR="006B1F12" w:rsidRDefault="004958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Пропозиція має включати всі п</w:t>
      </w:r>
      <w:r>
        <w:rPr>
          <w:color w:val="000000"/>
          <w:sz w:val="24"/>
          <w:szCs w:val="24"/>
        </w:rPr>
        <w:t xml:space="preserve">одатки, збори, мита. </w:t>
      </w:r>
    </w:p>
    <w:p w14:paraId="0F5CD3F8" w14:textId="77777777" w:rsidR="006B1F12" w:rsidRDefault="006B1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0F5CD3F9" w14:textId="77777777" w:rsidR="006B1F12" w:rsidRDefault="0049581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Цей документ надається виключно для використання Організацією, і копії не повинні бути доступні будь-якій іншій стороні без письмової згоди особи, зазначеної в п.2.3. Організація і БФ «ПРАВО НА ЗАХИСТ» визнають, що можуть стикатися з</w:t>
      </w:r>
      <w:r>
        <w:rPr>
          <w:color w:val="000000"/>
          <w:sz w:val="24"/>
          <w:szCs w:val="24"/>
        </w:rPr>
        <w:t xml:space="preserve"> непублічною інформацією, яка вважається конфіденційною або є власністю іншої сторони, включаючи сам цей документ. Кожна сторона погоджується не використовувати таку інформацію для власної вигоди або дозволяти її передавати або використовувати іншим. Кожна</w:t>
      </w:r>
      <w:r>
        <w:rPr>
          <w:color w:val="000000"/>
          <w:sz w:val="24"/>
          <w:szCs w:val="24"/>
        </w:rPr>
        <w:t xml:space="preserve"> сторона погоджується проявляти розумну обережність, щоб запобігти розголошенню третім особам. </w:t>
      </w:r>
    </w:p>
    <w:p w14:paraId="0F5CD3FA" w14:textId="77777777" w:rsidR="006B1F12" w:rsidRDefault="006B1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0F5CD3FB" w14:textId="77777777" w:rsidR="006B1F12" w:rsidRDefault="00495819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Жодна зі сторін не має права використовувати ім’я іншої сторони в рекламних повідомленнях, </w:t>
      </w:r>
      <w:proofErr w:type="spellStart"/>
      <w:r>
        <w:rPr>
          <w:color w:val="000000"/>
          <w:sz w:val="24"/>
          <w:szCs w:val="24"/>
        </w:rPr>
        <w:t>рефералах</w:t>
      </w:r>
      <w:proofErr w:type="spellEnd"/>
      <w:r>
        <w:rPr>
          <w:color w:val="000000"/>
          <w:sz w:val="24"/>
          <w:szCs w:val="24"/>
        </w:rPr>
        <w:t>, рекламі чи подібній діяльності без попередньої письмової згоди іншої сторони.</w:t>
      </w:r>
    </w:p>
    <w:p w14:paraId="0F5CD3FC" w14:textId="77777777" w:rsidR="006B1F12" w:rsidRDefault="006B1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0F5CD3FD" w14:textId="77777777" w:rsidR="006B1F12" w:rsidRDefault="00495819">
      <w:pPr>
        <w:pStyle w:val="1"/>
        <w:numPr>
          <w:ilvl w:val="0"/>
          <w:numId w:val="2"/>
        </w:numPr>
        <w:spacing w:after="0"/>
        <w:ind w:left="0"/>
      </w:pPr>
      <w:bookmarkStart w:id="6" w:name="_heading=h.4d34og8" w:colFirst="0" w:colLast="0"/>
      <w:bookmarkEnd w:id="6"/>
      <w:r>
        <w:rPr>
          <w:rFonts w:ascii="Calibri" w:eastAsia="Calibri" w:hAnsi="Calibri" w:cs="Calibri"/>
        </w:rPr>
        <w:t xml:space="preserve">Формат відповіді Організації </w:t>
      </w:r>
    </w:p>
    <w:p w14:paraId="0F5CD3FE" w14:textId="77777777" w:rsidR="006B1F12" w:rsidRDefault="00495819">
      <w:pPr>
        <w:spacing w:after="0" w:line="24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Зацікавлені Організації повинні відповідати з</w:t>
      </w:r>
      <w:r>
        <w:rPr>
          <w:sz w:val="24"/>
          <w:szCs w:val="24"/>
        </w:rPr>
        <w:t>гідно до наведених нижче розділів, і необхідно розглядати кожен запит щодо інформації, що міститься в цьому документі. Якщо не в змозі виконати будь-яку запитувану інформацію, то надаються пояснення як частину відповіді.</w:t>
      </w:r>
    </w:p>
    <w:p w14:paraId="0F5CD3FF" w14:textId="77777777" w:rsidR="006B1F12" w:rsidRDefault="006B1F12">
      <w:pPr>
        <w:spacing w:after="0" w:line="240" w:lineRule="auto"/>
        <w:ind w:firstLine="720"/>
        <w:jc w:val="both"/>
        <w:rPr>
          <w:sz w:val="24"/>
          <w:szCs w:val="24"/>
        </w:rPr>
      </w:pPr>
    </w:p>
    <w:p w14:paraId="0F5CD400" w14:textId="77777777" w:rsidR="006B1F12" w:rsidRDefault="00495819">
      <w:pPr>
        <w:pStyle w:val="2"/>
        <w:numPr>
          <w:ilvl w:val="1"/>
          <w:numId w:val="2"/>
        </w:numPr>
        <w:spacing w:before="0" w:line="240" w:lineRule="auto"/>
      </w:pPr>
      <w:bookmarkStart w:id="7" w:name="_heading=h.2s8eyo1" w:colFirst="0" w:colLast="0"/>
      <w:bookmarkEnd w:id="7"/>
      <w:r>
        <w:rPr>
          <w:sz w:val="24"/>
          <w:szCs w:val="24"/>
        </w:rPr>
        <w:t>Інформація про Організацію</w:t>
      </w:r>
    </w:p>
    <w:p w14:paraId="0F5CD401" w14:textId="77777777" w:rsidR="006B1F12" w:rsidRDefault="004958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повна назва Організації, юридична адреса, номер телефону та електронна адреса.</w:t>
      </w:r>
    </w:p>
    <w:p w14:paraId="0F5CD402" w14:textId="77777777" w:rsidR="006B1F12" w:rsidRDefault="004958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Список виконаних подібних </w:t>
      </w:r>
      <w:proofErr w:type="spellStart"/>
      <w:r>
        <w:rPr>
          <w:color w:val="000000"/>
          <w:sz w:val="24"/>
          <w:szCs w:val="24"/>
        </w:rPr>
        <w:t>проєктів</w:t>
      </w:r>
      <w:proofErr w:type="spellEnd"/>
      <w:r>
        <w:rPr>
          <w:color w:val="000000"/>
          <w:sz w:val="24"/>
          <w:szCs w:val="24"/>
        </w:rPr>
        <w:t xml:space="preserve"> (для отримувачів грантів JPF, PWJ), що були реалізовані в Україні протягом останніх 2-х років, а також інформація про їх контактних осіб </w:t>
      </w:r>
    </w:p>
    <w:p w14:paraId="0F5CD403" w14:textId="77777777" w:rsidR="006B1F12" w:rsidRDefault="004958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фіна</w:t>
      </w:r>
      <w:r>
        <w:rPr>
          <w:color w:val="000000"/>
          <w:sz w:val="24"/>
          <w:szCs w:val="24"/>
        </w:rPr>
        <w:t>нсова звітність Організації за поточний рік і останні 3 фінансові роки.</w:t>
      </w:r>
    </w:p>
    <w:p w14:paraId="0F5CD404" w14:textId="77777777" w:rsidR="006B1F12" w:rsidRDefault="004958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Свідоцтво/виписку про реєстрацію аудиторської компанії, сертифікат на право займатись, Довідку про реєстрацію платника податків.</w:t>
      </w:r>
    </w:p>
    <w:p w14:paraId="0F5CD405" w14:textId="77777777" w:rsidR="006B1F12" w:rsidRDefault="004958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Свідоцтво про включення до Реєстру аудиторських фірм та</w:t>
      </w:r>
      <w:r>
        <w:rPr>
          <w:color w:val="000000"/>
          <w:sz w:val="24"/>
          <w:szCs w:val="24"/>
        </w:rPr>
        <w:t xml:space="preserve"> аудиторів.</w:t>
      </w:r>
    </w:p>
    <w:p w14:paraId="0F5CD406" w14:textId="77777777" w:rsidR="006B1F12" w:rsidRDefault="004958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Опис будь-яких конфліктів інтересів, які можуть виникнути у Вашої Організації під час вступу у відносини з БФ «ПРАВО НА ЗАХИСТ».</w:t>
      </w:r>
    </w:p>
    <w:p w14:paraId="0F5CD407" w14:textId="77777777" w:rsidR="006B1F12" w:rsidRDefault="006B1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F5CD408" w14:textId="77777777" w:rsidR="006B1F12" w:rsidRDefault="00495819">
      <w:pPr>
        <w:pStyle w:val="2"/>
        <w:numPr>
          <w:ilvl w:val="1"/>
          <w:numId w:val="2"/>
        </w:numPr>
        <w:spacing w:before="0" w:line="240" w:lineRule="auto"/>
      </w:pPr>
      <w:bookmarkStart w:id="8" w:name="_heading=h.17dp8vu" w:colFirst="0" w:colLast="0"/>
      <w:bookmarkEnd w:id="8"/>
      <w:r>
        <w:rPr>
          <w:sz w:val="24"/>
          <w:szCs w:val="24"/>
        </w:rPr>
        <w:t>Технічне завдання служби зовнішнього аудиту</w:t>
      </w:r>
    </w:p>
    <w:p w14:paraId="0F5CD409" w14:textId="77777777" w:rsidR="006B1F12" w:rsidRDefault="004958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Стандартні положення та умови - Додаток № 1</w:t>
      </w:r>
    </w:p>
    <w:p w14:paraId="0F5CD40A" w14:textId="77777777" w:rsidR="006B1F12" w:rsidRDefault="004958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Проекти та контакти - Дода</w:t>
      </w:r>
      <w:r>
        <w:rPr>
          <w:color w:val="000000"/>
          <w:sz w:val="24"/>
          <w:szCs w:val="24"/>
        </w:rPr>
        <w:t>ток № 2</w:t>
      </w:r>
    </w:p>
    <w:p w14:paraId="0F5CD40B" w14:textId="77777777" w:rsidR="006B1F12" w:rsidRDefault="004958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Технічне завдання - Додаток № 3</w:t>
      </w:r>
    </w:p>
    <w:p w14:paraId="0F5CD40C" w14:textId="77777777" w:rsidR="006B1F12" w:rsidRDefault="006B1F12">
      <w:pPr>
        <w:spacing w:after="0" w:line="240" w:lineRule="auto"/>
        <w:rPr>
          <w:sz w:val="24"/>
          <w:szCs w:val="24"/>
        </w:rPr>
      </w:pPr>
    </w:p>
    <w:p w14:paraId="0F5CD40D" w14:textId="77777777" w:rsidR="006B1F12" w:rsidRDefault="00495819">
      <w:pPr>
        <w:pStyle w:val="2"/>
        <w:numPr>
          <w:ilvl w:val="1"/>
          <w:numId w:val="2"/>
        </w:numPr>
        <w:spacing w:before="0" w:line="240" w:lineRule="auto"/>
      </w:pPr>
      <w:bookmarkStart w:id="9" w:name="_heading=h.3rdcrjn" w:colFirst="0" w:colLast="0"/>
      <w:bookmarkEnd w:id="9"/>
      <w:r>
        <w:rPr>
          <w:sz w:val="24"/>
          <w:szCs w:val="24"/>
        </w:rPr>
        <w:t>Терміни</w:t>
      </w:r>
    </w:p>
    <w:p w14:paraId="0F5CD40E" w14:textId="77777777" w:rsidR="006B1F12" w:rsidRDefault="0049581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Період аудиту становитиме 4 тижні:  01.06.2023 - 30.06.2023</w:t>
      </w:r>
    </w:p>
    <w:p w14:paraId="0F5CD40F" w14:textId="77777777" w:rsidR="006B1F12" w:rsidRDefault="006B1F12">
      <w:pPr>
        <w:spacing w:after="0" w:line="240" w:lineRule="auto"/>
        <w:rPr>
          <w:sz w:val="24"/>
          <w:szCs w:val="24"/>
          <w:highlight w:val="yellow"/>
        </w:rPr>
      </w:pPr>
    </w:p>
    <w:p w14:paraId="0F5CD410" w14:textId="77777777" w:rsidR="006B1F12" w:rsidRDefault="00495819">
      <w:pPr>
        <w:pStyle w:val="1"/>
        <w:numPr>
          <w:ilvl w:val="0"/>
          <w:numId w:val="2"/>
        </w:numPr>
        <w:spacing w:after="0"/>
        <w:ind w:left="0"/>
      </w:pPr>
      <w:bookmarkStart w:id="10" w:name="_heading=h.26in1rg" w:colFirst="0" w:colLast="0"/>
      <w:bookmarkEnd w:id="10"/>
      <w:r>
        <w:rPr>
          <w:rFonts w:ascii="Calibri" w:eastAsia="Calibri" w:hAnsi="Calibri" w:cs="Calibri"/>
        </w:rPr>
        <w:t>Оцінювання та вимоги до аудиторів</w:t>
      </w:r>
    </w:p>
    <w:p w14:paraId="0F5CD411" w14:textId="77777777" w:rsidR="006B1F12" w:rsidRDefault="00495819">
      <w:pPr>
        <w:pStyle w:val="2"/>
        <w:numPr>
          <w:ilvl w:val="1"/>
          <w:numId w:val="2"/>
        </w:numPr>
        <w:spacing w:before="0" w:line="240" w:lineRule="auto"/>
      </w:pPr>
      <w:bookmarkStart w:id="11" w:name="_heading=h.lnxbz9" w:colFirst="0" w:colLast="0"/>
      <w:bookmarkEnd w:id="11"/>
      <w:r>
        <w:rPr>
          <w:sz w:val="24"/>
          <w:szCs w:val="24"/>
        </w:rPr>
        <w:t>Критерії оцінювання</w:t>
      </w:r>
    </w:p>
    <w:p w14:paraId="0F5CD412" w14:textId="77777777" w:rsidR="006B1F12" w:rsidRDefault="0049581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БФ «ПРАВО НА ЗАХИСТ» оцінить пропозиції та на власний розсуд </w:t>
      </w:r>
      <w:proofErr w:type="spellStart"/>
      <w:r>
        <w:rPr>
          <w:sz w:val="24"/>
          <w:szCs w:val="24"/>
        </w:rPr>
        <w:t>обере</w:t>
      </w:r>
      <w:proofErr w:type="spellEnd"/>
      <w:r>
        <w:rPr>
          <w:sz w:val="24"/>
          <w:szCs w:val="24"/>
        </w:rPr>
        <w:t xml:space="preserve"> Організацію за головними критеріями, але що не обмежуються наступним:</w:t>
      </w:r>
    </w:p>
    <w:p w14:paraId="0F5CD413" w14:textId="77777777" w:rsidR="006B1F12" w:rsidRDefault="004958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організація має бути представлена у переліку Комітету з контрою якості Аудиторської палати України та пройшли відповідну перевірку.</w:t>
      </w:r>
    </w:p>
    <w:p w14:paraId="0F5CD414" w14:textId="77777777" w:rsidR="006B1F12" w:rsidRDefault="004958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якість, репутація та ефективність надання послуг зовнішнього аудиту в глобальному середовищі.</w:t>
      </w:r>
    </w:p>
    <w:p w14:paraId="0F5CD415" w14:textId="77777777" w:rsidR="006B1F12" w:rsidRDefault="004958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bookmarkStart w:id="12" w:name="_GoBack"/>
      <w:bookmarkEnd w:id="12"/>
      <w:r>
        <w:rPr>
          <w:color w:val="000000"/>
          <w:sz w:val="24"/>
          <w:szCs w:val="24"/>
        </w:rPr>
        <w:t xml:space="preserve">схвалення організації з боку </w:t>
      </w:r>
      <w:proofErr w:type="spellStart"/>
      <w:r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фіса</w:t>
      </w:r>
      <w:proofErr w:type="spellEnd"/>
      <w:r>
        <w:rPr>
          <w:color w:val="000000"/>
          <w:sz w:val="24"/>
          <w:szCs w:val="24"/>
        </w:rPr>
        <w:t xml:space="preserve"> Генерального інспектора (OIG) Глобального фонду.</w:t>
      </w:r>
    </w:p>
    <w:p w14:paraId="0F5CD416" w14:textId="77777777" w:rsidR="006B1F12" w:rsidRDefault="004958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конкурентоспроможні ціни з можливістю завчасного та фіксованого ціноутворення.</w:t>
      </w:r>
    </w:p>
    <w:p w14:paraId="0F5CD417" w14:textId="77777777" w:rsidR="006B1F12" w:rsidRDefault="004958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надання послуг у обумовлені строки.</w:t>
      </w:r>
    </w:p>
    <w:p w14:paraId="0F5CD418" w14:textId="77777777" w:rsidR="006B1F12" w:rsidRDefault="006B1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14:paraId="0F5CD419" w14:textId="77777777" w:rsidR="006B1F12" w:rsidRDefault="00495819">
      <w:pPr>
        <w:pStyle w:val="2"/>
        <w:numPr>
          <w:ilvl w:val="1"/>
          <w:numId w:val="2"/>
        </w:numPr>
        <w:spacing w:before="0" w:line="240" w:lineRule="auto"/>
      </w:pPr>
      <w:bookmarkStart w:id="13" w:name="_heading=h.35nkun2" w:colFirst="0" w:colLast="0"/>
      <w:bookmarkEnd w:id="13"/>
      <w:r>
        <w:rPr>
          <w:sz w:val="24"/>
          <w:szCs w:val="24"/>
        </w:rPr>
        <w:t xml:space="preserve">Вимоги до аудиторів: </w:t>
      </w:r>
    </w:p>
    <w:p w14:paraId="0F5CD41A" w14:textId="77777777" w:rsidR="006B1F12" w:rsidRDefault="004958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зовнішній, незалежний і кваліфікований аудитор сертифікований </w:t>
      </w:r>
      <w:proofErr w:type="spellStart"/>
      <w:r>
        <w:rPr>
          <w:color w:val="000000"/>
          <w:sz w:val="24"/>
          <w:szCs w:val="24"/>
        </w:rPr>
        <w:t>Ce</w:t>
      </w:r>
      <w:r>
        <w:rPr>
          <w:color w:val="000000"/>
          <w:sz w:val="24"/>
          <w:szCs w:val="24"/>
        </w:rPr>
        <w:t>rtified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Public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Accountant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Authorised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Public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Accountant</w:t>
      </w:r>
      <w:proofErr w:type="spellEnd"/>
      <w:r>
        <w:rPr>
          <w:color w:val="000000"/>
          <w:sz w:val="24"/>
          <w:szCs w:val="24"/>
        </w:rPr>
        <w:t xml:space="preserve"> (CPA/ACCA).</w:t>
      </w:r>
    </w:p>
    <w:p w14:paraId="0F5CD41B" w14:textId="77777777" w:rsidR="006B1F12" w:rsidRDefault="004958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внесений в реєстр аудиторських фірм та аудиторів, які мають право надавати аудиторські послуги. </w:t>
      </w:r>
    </w:p>
    <w:p w14:paraId="0F5CD41C" w14:textId="77777777" w:rsidR="006B1F12" w:rsidRDefault="004958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свідоцтво аудитора (серія А), видане Аудиторською палатою України. </w:t>
      </w:r>
    </w:p>
    <w:p w14:paraId="0F5CD41D" w14:textId="77777777" w:rsidR="006B1F12" w:rsidRDefault="004958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досвід надання аудиторських послуг отримувачам грантів JPF / PWJ.</w:t>
      </w:r>
    </w:p>
    <w:p w14:paraId="0F5CD41E" w14:textId="77777777" w:rsidR="006B1F12" w:rsidRDefault="006B1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F5CD41F" w14:textId="77777777" w:rsidR="006B1F12" w:rsidRDefault="006B1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F5CD420" w14:textId="77777777" w:rsidR="006B1F12" w:rsidRDefault="006B1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F5CD421" w14:textId="77777777" w:rsidR="006B1F12" w:rsidRDefault="006B1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F5CD422" w14:textId="77777777" w:rsidR="006B1F12" w:rsidRDefault="006B1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F5CD423" w14:textId="77777777" w:rsidR="006B1F12" w:rsidRDefault="006B1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F5CD424" w14:textId="77777777" w:rsidR="006B1F12" w:rsidRDefault="006B1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F5CD425" w14:textId="77777777" w:rsidR="006B1F12" w:rsidRDefault="006B1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F5CD426" w14:textId="77777777" w:rsidR="006B1F12" w:rsidRDefault="006B1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F5CD427" w14:textId="77777777" w:rsidR="006B1F12" w:rsidRDefault="006B1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F5CD428" w14:textId="77777777" w:rsidR="006B1F12" w:rsidRDefault="006B1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F5CD429" w14:textId="77777777" w:rsidR="006B1F12" w:rsidRDefault="006B1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F5CD42A" w14:textId="77777777" w:rsidR="006B1F12" w:rsidRDefault="006B1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F5CD42B" w14:textId="77777777" w:rsidR="006B1F12" w:rsidRDefault="006B1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F5CD42C" w14:textId="77777777" w:rsidR="006B1F12" w:rsidRDefault="006B1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F5CD42D" w14:textId="77777777" w:rsidR="006B1F12" w:rsidRDefault="00495819">
      <w:pPr>
        <w:pStyle w:val="1"/>
        <w:spacing w:after="0"/>
        <w:jc w:val="right"/>
        <w:rPr>
          <w:rFonts w:ascii="Calibri" w:eastAsia="Calibri" w:hAnsi="Calibri" w:cs="Calibri"/>
          <w:color w:val="000000"/>
        </w:rPr>
      </w:pPr>
      <w:bookmarkStart w:id="14" w:name="_heading=h.1ksv4uv" w:colFirst="0" w:colLast="0"/>
      <w:bookmarkEnd w:id="14"/>
      <w:r>
        <w:rPr>
          <w:rFonts w:ascii="Calibri" w:eastAsia="Calibri" w:hAnsi="Calibri" w:cs="Calibri"/>
          <w:color w:val="000000"/>
        </w:rPr>
        <w:lastRenderedPageBreak/>
        <w:t>Додаток № 1</w:t>
      </w:r>
    </w:p>
    <w:p w14:paraId="0F5CD42E" w14:textId="77777777" w:rsidR="006B1F12" w:rsidRDefault="006B1F12">
      <w:pPr>
        <w:spacing w:after="0" w:line="240" w:lineRule="auto"/>
      </w:pPr>
    </w:p>
    <w:p w14:paraId="0F5CD42F" w14:textId="77777777" w:rsidR="006B1F12" w:rsidRDefault="00495819">
      <w:pPr>
        <w:pStyle w:val="1"/>
        <w:spacing w:after="0"/>
        <w:jc w:val="center"/>
      </w:pPr>
      <w:r>
        <w:rPr>
          <w:rFonts w:ascii="Calibri" w:eastAsia="Calibri" w:hAnsi="Calibri" w:cs="Calibri"/>
          <w:color w:val="000000"/>
        </w:rPr>
        <w:t>Стандартні положення та умови</w:t>
      </w:r>
    </w:p>
    <w:p w14:paraId="0F5CD430" w14:textId="77777777" w:rsidR="006B1F12" w:rsidRDefault="00495819">
      <w:pPr>
        <w:spacing w:after="0" w:line="240" w:lineRule="auto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Сторони Договору</w:t>
      </w:r>
    </w:p>
    <w:p w14:paraId="0F5CD431" w14:textId="77777777" w:rsidR="006B1F12" w:rsidRDefault="0049581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Обов’язкова Угода буде укладена з (1) обраним респондентом-переможцем («ПОСТАЧАЛЬНИК ЗОВНІШНІХ АУДИТОРСЬКИХ ПОСЛУГ») і БФ «ПРАВО НА ЗАХИСТ».</w:t>
      </w:r>
    </w:p>
    <w:p w14:paraId="0F5CD432" w14:textId="77777777" w:rsidR="006B1F12" w:rsidRDefault="006B1F12">
      <w:pPr>
        <w:spacing w:after="0" w:line="240" w:lineRule="auto"/>
        <w:rPr>
          <w:sz w:val="24"/>
          <w:szCs w:val="24"/>
        </w:rPr>
      </w:pPr>
    </w:p>
    <w:p w14:paraId="0F5CD433" w14:textId="77777777" w:rsidR="006B1F12" w:rsidRDefault="00495819">
      <w:pPr>
        <w:spacing w:after="0" w:line="240" w:lineRule="auto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Конфіденційність</w:t>
      </w:r>
    </w:p>
    <w:p w14:paraId="0F5CD434" w14:textId="77777777" w:rsidR="006B1F12" w:rsidRDefault="0049581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ПОСТАЧАЛЬНИК ПОСЛУГ ЗОВНІШНЬОГО АУДИТУ погоджується не обговорювати умови цієї Угоди з будь-якою </w:t>
      </w:r>
      <w:r>
        <w:rPr>
          <w:sz w:val="24"/>
          <w:szCs w:val="24"/>
        </w:rPr>
        <w:t xml:space="preserve">третьою стороною без письмової згоди БФ «ПРАВО НА ЗАХИСТ». ПОСТАЧАЛЬНИК ЗОВНІШНІХ ПОСЛУГ АУДИТУ погоджується зберігати конфіденційність будь-якої непублічної інформації БФ «ПРАВО НА ЗАХИСТ», яка може бути розкрита ПОСТАЧАЛЬНИКУ ЗОВНІШНІХ ПОСЛУГ АУДИТУ або </w:t>
      </w:r>
      <w:r>
        <w:rPr>
          <w:sz w:val="24"/>
          <w:szCs w:val="24"/>
        </w:rPr>
        <w:t>до якої ПОСТАЧАЛЬНИК ЗОВНІШНІХ ПОСЛУГ АУДИТУ може мати доступ внаслідок цього Договору, включаючи результати послуг ПОСТАЧАЛЬНИКА ПОСЛУГ ЗОВНІШНЬОГО АУДИТУ за цим Договором.</w:t>
      </w:r>
    </w:p>
    <w:p w14:paraId="0F5CD435" w14:textId="77777777" w:rsidR="006B1F12" w:rsidRDefault="006B1F12">
      <w:pPr>
        <w:spacing w:after="0" w:line="240" w:lineRule="auto"/>
        <w:rPr>
          <w:sz w:val="24"/>
          <w:szCs w:val="24"/>
        </w:rPr>
      </w:pPr>
    </w:p>
    <w:p w14:paraId="0F5CD436" w14:textId="77777777" w:rsidR="006B1F12" w:rsidRDefault="00495819">
      <w:pPr>
        <w:spacing w:after="0" w:line="240" w:lineRule="auto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Без переуступки або субпідряду</w:t>
      </w:r>
    </w:p>
    <w:p w14:paraId="0F5CD437" w14:textId="77777777" w:rsidR="006B1F12" w:rsidRDefault="0049581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ПОСТАЧАЛЬНИК ЗОВНІШНІХ ПОСЛУГ АУДИТУ не має права </w:t>
      </w:r>
      <w:r>
        <w:rPr>
          <w:sz w:val="24"/>
          <w:szCs w:val="24"/>
        </w:rPr>
        <w:t>передавати свої права чи обов’язки за цим Договором повністю чи частково, а також не укладати будь-які субпідрядні угоди для виконання будь-якої частини цього Договору без письмової згоди БФ «ПРАВО НА ЗАХИСТ».</w:t>
      </w:r>
    </w:p>
    <w:p w14:paraId="0F5CD438" w14:textId="77777777" w:rsidR="006B1F12" w:rsidRDefault="006B1F12">
      <w:pPr>
        <w:spacing w:after="0" w:line="240" w:lineRule="auto"/>
        <w:rPr>
          <w:sz w:val="24"/>
          <w:szCs w:val="24"/>
        </w:rPr>
      </w:pPr>
    </w:p>
    <w:p w14:paraId="0F5CD439" w14:textId="77777777" w:rsidR="006B1F12" w:rsidRDefault="00495819">
      <w:pPr>
        <w:spacing w:after="0" w:line="240" w:lineRule="auto"/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Припинення</w:t>
      </w:r>
    </w:p>
    <w:p w14:paraId="0F5CD43A" w14:textId="77777777" w:rsidR="006B1F12" w:rsidRDefault="0049581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БФ «ПРАВО НА ЗАХИСТ» може припинит</w:t>
      </w:r>
      <w:r>
        <w:rPr>
          <w:sz w:val="24"/>
          <w:szCs w:val="24"/>
        </w:rPr>
        <w:t>и дію Договору в будь-який час, надіславши письмове повідомлення за 30 днів з будь-якої іншої причини. У разі такого припинення дії ПОСТАЧАЛЬНИКУ ЗОВНІШНЬОГО АУДИТОРСЬКИХ ПОСЛУГ будуть сплачені витрати за послуги, надані відповідно до цього Договору до дат</w:t>
      </w:r>
      <w:r>
        <w:rPr>
          <w:sz w:val="24"/>
          <w:szCs w:val="24"/>
        </w:rPr>
        <w:t>и припинення.</w:t>
      </w:r>
    </w:p>
    <w:p w14:paraId="0F5CD43B" w14:textId="77777777" w:rsidR="006B1F12" w:rsidRDefault="006B1F12">
      <w:pPr>
        <w:spacing w:after="0" w:line="240" w:lineRule="auto"/>
        <w:rPr>
          <w:sz w:val="24"/>
          <w:szCs w:val="24"/>
        </w:rPr>
      </w:pPr>
    </w:p>
    <w:p w14:paraId="0F5CD43C" w14:textId="77777777" w:rsidR="006B1F12" w:rsidRDefault="0049581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Цей Договір може бути негайно припинено будь-якою Стороною у випадку порушення положень Договору іншою Стороною, на додаток до будь-яких засобів правового захисту або відшкодування збитків, передбачених чинним законодавством.</w:t>
      </w:r>
    </w:p>
    <w:p w14:paraId="0F5CD43D" w14:textId="77777777" w:rsidR="006B1F12" w:rsidRDefault="006B1F12">
      <w:pPr>
        <w:spacing w:after="0" w:line="240" w:lineRule="auto"/>
        <w:rPr>
          <w:sz w:val="24"/>
          <w:szCs w:val="24"/>
        </w:rPr>
      </w:pPr>
    </w:p>
    <w:p w14:paraId="0F5CD43E" w14:textId="77777777" w:rsidR="006B1F12" w:rsidRDefault="0049581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Цей Договір мо</w:t>
      </w:r>
      <w:r>
        <w:rPr>
          <w:sz w:val="24"/>
          <w:szCs w:val="24"/>
        </w:rPr>
        <w:t>же бути припинено будь-якою Стороною настання «форс-мажорних обставин», яких не існувало  на момент укладення цього договору, та визнаних застосовним законодавством України. У разі такого розірвання, ПОСТАЧАЛЬНИКУ ОВНІШНІХ АУДИТОРСЬКИХ ПОСЛУГ будуть сплаче</w:t>
      </w:r>
      <w:r>
        <w:rPr>
          <w:sz w:val="24"/>
          <w:szCs w:val="24"/>
        </w:rPr>
        <w:t>ні затверджені комісії та витрати за товари, надані відповідно до цього Договору до дати розірвання.</w:t>
      </w:r>
    </w:p>
    <w:p w14:paraId="0F5CD43F" w14:textId="77777777" w:rsidR="006B1F12" w:rsidRDefault="00495819">
      <w:pPr>
        <w:pStyle w:val="1"/>
        <w:spacing w:after="0"/>
        <w:jc w:val="right"/>
        <w:rPr>
          <w:rFonts w:ascii="Calibri" w:eastAsia="Calibri" w:hAnsi="Calibri" w:cs="Calibri"/>
        </w:rPr>
      </w:pPr>
      <w:bookmarkStart w:id="15" w:name="_heading=h.44sinio" w:colFirst="0" w:colLast="0"/>
      <w:bookmarkEnd w:id="15"/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</w:p>
    <w:p w14:paraId="0F5CD440" w14:textId="77777777" w:rsidR="006B1F12" w:rsidRDefault="006B1F12">
      <w:pPr>
        <w:pStyle w:val="1"/>
        <w:spacing w:after="0"/>
        <w:jc w:val="right"/>
        <w:rPr>
          <w:rFonts w:ascii="Calibri" w:eastAsia="Calibri" w:hAnsi="Calibri" w:cs="Calibri"/>
        </w:rPr>
      </w:pPr>
    </w:p>
    <w:p w14:paraId="0F5CD441" w14:textId="77777777" w:rsidR="006B1F12" w:rsidRDefault="006B1F12">
      <w:pPr>
        <w:pStyle w:val="1"/>
        <w:spacing w:after="0"/>
        <w:jc w:val="right"/>
        <w:rPr>
          <w:rFonts w:ascii="Calibri" w:eastAsia="Calibri" w:hAnsi="Calibri" w:cs="Calibri"/>
        </w:rPr>
      </w:pPr>
    </w:p>
    <w:p w14:paraId="0F5CD442" w14:textId="77777777" w:rsidR="006B1F12" w:rsidRDefault="006B1F12">
      <w:pPr>
        <w:pStyle w:val="1"/>
        <w:spacing w:after="0"/>
        <w:jc w:val="right"/>
        <w:rPr>
          <w:rFonts w:ascii="Calibri" w:eastAsia="Calibri" w:hAnsi="Calibri" w:cs="Calibri"/>
        </w:rPr>
      </w:pPr>
    </w:p>
    <w:p w14:paraId="0F5CD443" w14:textId="77777777" w:rsidR="006B1F12" w:rsidRDefault="00495819">
      <w:pPr>
        <w:pStyle w:val="1"/>
        <w:spacing w:after="0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Додаток № 2</w:t>
      </w:r>
    </w:p>
    <w:p w14:paraId="0F5CD444" w14:textId="77777777" w:rsidR="006B1F12" w:rsidRDefault="006B1F12">
      <w:bookmarkStart w:id="16" w:name="_heading=h.1y810tw" w:colFirst="0" w:colLast="0"/>
      <w:bookmarkEnd w:id="16"/>
    </w:p>
    <w:p w14:paraId="0F5CD445" w14:textId="77777777" w:rsidR="006B1F12" w:rsidRDefault="00495819">
      <w:pPr>
        <w:pStyle w:val="1"/>
        <w:spacing w:after="0"/>
        <w:jc w:val="center"/>
      </w:pPr>
      <w:r>
        <w:rPr>
          <w:rFonts w:ascii="Calibri" w:eastAsia="Calibri" w:hAnsi="Calibri" w:cs="Calibri"/>
        </w:rPr>
        <w:t>Проекти та контакти</w:t>
      </w:r>
    </w:p>
    <w:p w14:paraId="0F5CD446" w14:textId="77777777" w:rsidR="006B1F12" w:rsidRDefault="004958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Контакти</w:t>
      </w:r>
    </w:p>
    <w:p w14:paraId="0F5CD447" w14:textId="77777777" w:rsidR="006B1F12" w:rsidRDefault="006B1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tbl>
      <w:tblPr>
        <w:tblStyle w:val="aff"/>
        <w:tblW w:w="10385" w:type="dxa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7"/>
        <w:gridCol w:w="6738"/>
      </w:tblGrid>
      <w:tr w:rsidR="006B1F12" w14:paraId="0F5CD44A" w14:textId="77777777">
        <w:trPr>
          <w:trHeight w:val="320"/>
        </w:trPr>
        <w:tc>
          <w:tcPr>
            <w:tcW w:w="3647" w:type="dxa"/>
          </w:tcPr>
          <w:p w14:paraId="0F5CD448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Особа для контакту – ім’я</w:t>
            </w:r>
          </w:p>
        </w:tc>
        <w:tc>
          <w:tcPr>
            <w:tcW w:w="6738" w:type="dxa"/>
          </w:tcPr>
          <w:p w14:paraId="0F5CD449" w14:textId="77777777" w:rsidR="006B1F12" w:rsidRDefault="0049581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Шевчук Тетяна </w:t>
            </w:r>
          </w:p>
        </w:tc>
      </w:tr>
      <w:tr w:rsidR="006B1F12" w14:paraId="0F5CD44D" w14:textId="77777777">
        <w:trPr>
          <w:trHeight w:val="283"/>
        </w:trPr>
        <w:tc>
          <w:tcPr>
            <w:tcW w:w="3647" w:type="dxa"/>
          </w:tcPr>
          <w:p w14:paraId="0F5CD44B" w14:textId="77777777" w:rsidR="006B1F12" w:rsidRDefault="0049581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Ел.адреса</w:t>
            </w:r>
            <w:proofErr w:type="spellEnd"/>
          </w:p>
        </w:tc>
        <w:tc>
          <w:tcPr>
            <w:tcW w:w="6738" w:type="dxa"/>
          </w:tcPr>
          <w:p w14:paraId="0F5CD44C" w14:textId="77777777" w:rsidR="006B1F12" w:rsidRDefault="00495819">
            <w:pPr>
              <w:shd w:val="clear" w:color="auto" w:fill="FFFFFF"/>
              <w:rPr>
                <w:rFonts w:ascii="Roboto" w:eastAsia="Roboto" w:hAnsi="Roboto" w:cs="Roboto"/>
                <w:color w:val="444746"/>
                <w:sz w:val="18"/>
                <w:szCs w:val="18"/>
              </w:rPr>
            </w:pPr>
            <w:r>
              <w:rPr>
                <w:sz w:val="24"/>
                <w:szCs w:val="24"/>
              </w:rPr>
              <w:t>t.shevchuk@r2p.org.ua</w:t>
            </w:r>
          </w:p>
        </w:tc>
      </w:tr>
      <w:tr w:rsidR="006B1F12" w14:paraId="0F5CD450" w14:textId="77777777">
        <w:trPr>
          <w:trHeight w:val="286"/>
        </w:trPr>
        <w:tc>
          <w:tcPr>
            <w:tcW w:w="3647" w:type="dxa"/>
          </w:tcPr>
          <w:p w14:paraId="0F5CD44E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телефону</w:t>
            </w:r>
          </w:p>
        </w:tc>
        <w:tc>
          <w:tcPr>
            <w:tcW w:w="6738" w:type="dxa"/>
          </w:tcPr>
          <w:p w14:paraId="0F5CD44F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+38 095 913 08 05</w:t>
            </w:r>
          </w:p>
        </w:tc>
      </w:tr>
      <w:tr w:rsidR="006B1F12" w14:paraId="0F5CD453" w14:textId="77777777">
        <w:trPr>
          <w:trHeight w:val="383"/>
        </w:trPr>
        <w:tc>
          <w:tcPr>
            <w:tcW w:w="3647" w:type="dxa"/>
          </w:tcPr>
          <w:p w14:paraId="0F5CD451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Замовник</w:t>
            </w:r>
          </w:p>
        </w:tc>
        <w:tc>
          <w:tcPr>
            <w:tcW w:w="6738" w:type="dxa"/>
          </w:tcPr>
          <w:p w14:paraId="0F5CD452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БФ «ПРАВО НА ЗАХИСТ»</w:t>
            </w:r>
          </w:p>
        </w:tc>
      </w:tr>
      <w:tr w:rsidR="006B1F12" w14:paraId="0F5CD456" w14:textId="77777777">
        <w:trPr>
          <w:trHeight w:val="324"/>
        </w:trPr>
        <w:tc>
          <w:tcPr>
            <w:tcW w:w="3647" w:type="dxa"/>
          </w:tcPr>
          <w:p w14:paraId="0F5CD454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Локація головного офісу</w:t>
            </w:r>
          </w:p>
        </w:tc>
        <w:tc>
          <w:tcPr>
            <w:tcW w:w="6738" w:type="dxa"/>
          </w:tcPr>
          <w:p w14:paraId="0F5CD455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Київ, Україна</w:t>
            </w:r>
          </w:p>
        </w:tc>
      </w:tr>
    </w:tbl>
    <w:p w14:paraId="0F5CD457" w14:textId="77777777" w:rsidR="006B1F12" w:rsidRDefault="006B1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0F5CD458" w14:textId="77777777" w:rsidR="006B1F12" w:rsidRDefault="004958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Деталі </w:t>
      </w:r>
      <w:proofErr w:type="spellStart"/>
      <w:r>
        <w:rPr>
          <w:color w:val="000000"/>
          <w:sz w:val="24"/>
          <w:szCs w:val="24"/>
        </w:rPr>
        <w:t>проєктів</w:t>
      </w:r>
      <w:proofErr w:type="spellEnd"/>
    </w:p>
    <w:p w14:paraId="0F5CD459" w14:textId="77777777" w:rsidR="006B1F12" w:rsidRDefault="006B1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tbl>
      <w:tblPr>
        <w:tblStyle w:val="aff0"/>
        <w:tblW w:w="10495" w:type="dxa"/>
        <w:tblInd w:w="0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8"/>
        <w:gridCol w:w="1862"/>
        <w:gridCol w:w="1764"/>
        <w:gridCol w:w="2127"/>
        <w:gridCol w:w="2126"/>
        <w:gridCol w:w="2278"/>
      </w:tblGrid>
      <w:tr w:rsidR="006B1F12" w14:paraId="0F5CD460" w14:textId="77777777">
        <w:trPr>
          <w:trHeight w:val="732"/>
        </w:trPr>
        <w:tc>
          <w:tcPr>
            <w:tcW w:w="338" w:type="dxa"/>
            <w:shd w:val="clear" w:color="auto" w:fill="auto"/>
            <w:vAlign w:val="center"/>
          </w:tcPr>
          <w:p w14:paraId="0F5CD45A" w14:textId="77777777" w:rsidR="006B1F12" w:rsidRDefault="0049581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#</w:t>
            </w:r>
          </w:p>
        </w:tc>
        <w:tc>
          <w:tcPr>
            <w:tcW w:w="1862" w:type="dxa"/>
            <w:shd w:val="clear" w:color="auto" w:fill="F2F2F2"/>
            <w:vAlign w:val="center"/>
          </w:tcPr>
          <w:p w14:paraId="0F5CD45B" w14:textId="77777777" w:rsidR="006B1F12" w:rsidRDefault="0049581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Договір укладено з</w:t>
            </w:r>
          </w:p>
        </w:tc>
        <w:tc>
          <w:tcPr>
            <w:tcW w:w="1764" w:type="dxa"/>
            <w:shd w:val="clear" w:color="auto" w:fill="F2F2F2"/>
            <w:vAlign w:val="center"/>
          </w:tcPr>
          <w:p w14:paraId="0F5CD45C" w14:textId="77777777" w:rsidR="006B1F12" w:rsidRDefault="0049581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Фінансування від</w:t>
            </w:r>
          </w:p>
        </w:tc>
        <w:tc>
          <w:tcPr>
            <w:tcW w:w="2127" w:type="dxa"/>
            <w:shd w:val="clear" w:color="auto" w:fill="F2F2F2"/>
          </w:tcPr>
          <w:p w14:paraId="0F5CD45D" w14:textId="77777777" w:rsidR="006B1F12" w:rsidRDefault="0049581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Строк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проєкту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 згідно договору</w:t>
            </w:r>
          </w:p>
        </w:tc>
        <w:tc>
          <w:tcPr>
            <w:tcW w:w="2126" w:type="dxa"/>
            <w:shd w:val="clear" w:color="auto" w:fill="F2F2F2"/>
          </w:tcPr>
          <w:p w14:paraId="0F5CD45E" w14:textId="77777777" w:rsidR="006B1F12" w:rsidRDefault="0049581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Бюджет згідно договору</w:t>
            </w:r>
          </w:p>
        </w:tc>
        <w:tc>
          <w:tcPr>
            <w:tcW w:w="2278" w:type="dxa"/>
            <w:shd w:val="clear" w:color="auto" w:fill="F2F2F2"/>
          </w:tcPr>
          <w:p w14:paraId="0F5CD45F" w14:textId="77777777" w:rsidR="006B1F12" w:rsidRDefault="00495819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Витрати за період проекту </w:t>
            </w:r>
          </w:p>
        </w:tc>
      </w:tr>
      <w:tr w:rsidR="006B1F12" w14:paraId="0F5CD468" w14:textId="77777777">
        <w:trPr>
          <w:trHeight w:val="528"/>
        </w:trPr>
        <w:tc>
          <w:tcPr>
            <w:tcW w:w="338" w:type="dxa"/>
            <w:shd w:val="clear" w:color="auto" w:fill="auto"/>
          </w:tcPr>
          <w:p w14:paraId="0F5CD461" w14:textId="77777777" w:rsidR="006B1F12" w:rsidRDefault="0049581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62" w:type="dxa"/>
            <w:shd w:val="clear" w:color="auto" w:fill="auto"/>
          </w:tcPr>
          <w:p w14:paraId="0F5CD462" w14:textId="77777777" w:rsidR="006B1F12" w:rsidRDefault="0049581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Peace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Winds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Japan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(PWJ)</w:t>
            </w:r>
          </w:p>
        </w:tc>
        <w:tc>
          <w:tcPr>
            <w:tcW w:w="1764" w:type="dxa"/>
            <w:shd w:val="clear" w:color="auto" w:fill="auto"/>
          </w:tcPr>
          <w:p w14:paraId="0F5CD463" w14:textId="77777777" w:rsidR="006B1F12" w:rsidRDefault="0049581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Japan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Platform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(JPF)</w:t>
            </w:r>
          </w:p>
        </w:tc>
        <w:tc>
          <w:tcPr>
            <w:tcW w:w="2127" w:type="dxa"/>
          </w:tcPr>
          <w:p w14:paraId="0F5CD464" w14:textId="77777777" w:rsidR="006B1F12" w:rsidRDefault="0049581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жовтня 2022 – 31 травня 2023</w:t>
            </w:r>
          </w:p>
        </w:tc>
        <w:tc>
          <w:tcPr>
            <w:tcW w:w="2126" w:type="dxa"/>
          </w:tcPr>
          <w:p w14:paraId="0F5CD465" w14:textId="77777777" w:rsidR="006B1F12" w:rsidRDefault="0049581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1 054 816,78 USD </w:t>
            </w:r>
          </w:p>
          <w:p w14:paraId="0F5CD466" w14:textId="77777777" w:rsidR="006B1F12" w:rsidRDefault="0049581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= 152 948 446 JPY</w:t>
            </w:r>
          </w:p>
        </w:tc>
        <w:tc>
          <w:tcPr>
            <w:tcW w:w="2278" w:type="dxa"/>
          </w:tcPr>
          <w:p w14:paraId="0F5CD467" w14:textId="77777777" w:rsidR="006B1F12" w:rsidRDefault="0049581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Будуть надані на момент завершення проекту</w:t>
            </w:r>
          </w:p>
        </w:tc>
      </w:tr>
    </w:tbl>
    <w:p w14:paraId="0F5CD469" w14:textId="77777777" w:rsidR="006B1F12" w:rsidRDefault="006B1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0F5CD46A" w14:textId="77777777" w:rsidR="006B1F12" w:rsidRDefault="004958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Період та строк аудиту</w:t>
      </w:r>
    </w:p>
    <w:p w14:paraId="0F5CD46B" w14:textId="77777777" w:rsidR="006B1F12" w:rsidRDefault="006B1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tbl>
      <w:tblPr>
        <w:tblStyle w:val="aff1"/>
        <w:tblW w:w="10632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6091"/>
        <w:gridCol w:w="4541"/>
      </w:tblGrid>
      <w:tr w:rsidR="006B1F12" w14:paraId="0F5CD46E" w14:textId="77777777">
        <w:trPr>
          <w:trHeight w:val="242"/>
        </w:trPr>
        <w:tc>
          <w:tcPr>
            <w:tcW w:w="6091" w:type="dxa"/>
          </w:tcPr>
          <w:p w14:paraId="0F5CD46C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Період аудиту</w:t>
            </w:r>
          </w:p>
        </w:tc>
        <w:tc>
          <w:tcPr>
            <w:tcW w:w="4541" w:type="dxa"/>
          </w:tcPr>
          <w:p w14:paraId="0F5CD46D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01.06.2023 – 31.06.2023</w:t>
            </w:r>
          </w:p>
        </w:tc>
      </w:tr>
      <w:tr w:rsidR="006B1F12" w14:paraId="0F5CD471" w14:textId="77777777">
        <w:trPr>
          <w:trHeight w:val="284"/>
        </w:trPr>
        <w:tc>
          <w:tcPr>
            <w:tcW w:w="6091" w:type="dxa"/>
          </w:tcPr>
          <w:p w14:paraId="0F5CD46F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Місяць для проведення аудиту </w:t>
            </w:r>
          </w:p>
        </w:tc>
        <w:tc>
          <w:tcPr>
            <w:tcW w:w="4541" w:type="dxa"/>
          </w:tcPr>
          <w:p w14:paraId="0F5CD470" w14:textId="77777777" w:rsidR="006B1F12" w:rsidRDefault="00495819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червень 2023</w:t>
            </w:r>
          </w:p>
        </w:tc>
      </w:tr>
      <w:tr w:rsidR="006B1F12" w14:paraId="0F5CD474" w14:textId="77777777">
        <w:trPr>
          <w:trHeight w:val="252"/>
        </w:trPr>
        <w:tc>
          <w:tcPr>
            <w:tcW w:w="6091" w:type="dxa"/>
          </w:tcPr>
          <w:p w14:paraId="0F5CD472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Строк аудиту</w:t>
            </w:r>
          </w:p>
        </w:tc>
        <w:tc>
          <w:tcPr>
            <w:tcW w:w="4541" w:type="dxa"/>
          </w:tcPr>
          <w:p w14:paraId="0F5CD473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тижні</w:t>
            </w:r>
          </w:p>
        </w:tc>
      </w:tr>
      <w:tr w:rsidR="006B1F12" w14:paraId="0F5CD478" w14:textId="77777777">
        <w:trPr>
          <w:trHeight w:val="530"/>
        </w:trPr>
        <w:tc>
          <w:tcPr>
            <w:tcW w:w="6091" w:type="dxa"/>
          </w:tcPr>
          <w:p w14:paraId="0F5CD475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Чи проводився попередній аудит цих </w:t>
            </w:r>
            <w:proofErr w:type="spellStart"/>
            <w:r>
              <w:rPr>
                <w:sz w:val="24"/>
                <w:szCs w:val="24"/>
              </w:rPr>
              <w:t>проєктів</w:t>
            </w:r>
            <w:proofErr w:type="spellEnd"/>
            <w:r>
              <w:rPr>
                <w:sz w:val="24"/>
                <w:szCs w:val="24"/>
              </w:rPr>
              <w:t xml:space="preserve">, якщо так, </w:t>
            </w:r>
          </w:p>
          <w:p w14:paraId="0F5CD476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 необхідно додати попередній звіт аудиту</w:t>
            </w:r>
          </w:p>
        </w:tc>
        <w:tc>
          <w:tcPr>
            <w:tcW w:w="4541" w:type="dxa"/>
          </w:tcPr>
          <w:p w14:paraId="0F5CD477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проводився</w:t>
            </w:r>
          </w:p>
        </w:tc>
      </w:tr>
      <w:tr w:rsidR="006B1F12" w14:paraId="0F5CD47B" w14:textId="77777777">
        <w:trPr>
          <w:trHeight w:val="314"/>
        </w:trPr>
        <w:tc>
          <w:tcPr>
            <w:tcW w:w="6091" w:type="dxa"/>
          </w:tcPr>
          <w:p w14:paraId="0F5CD479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 вимагається цей аудит з конкретної причини?</w:t>
            </w:r>
          </w:p>
        </w:tc>
        <w:tc>
          <w:tcPr>
            <w:tcW w:w="4541" w:type="dxa"/>
          </w:tcPr>
          <w:p w14:paraId="0F5CD47A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Згідно з політиками PWJ та JPF</w:t>
            </w:r>
          </w:p>
        </w:tc>
      </w:tr>
    </w:tbl>
    <w:p w14:paraId="0F5CD47C" w14:textId="77777777" w:rsidR="006B1F12" w:rsidRDefault="006B1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14:paraId="0F5CD47D" w14:textId="77777777" w:rsidR="006B1F12" w:rsidRDefault="00495819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Мова </w:t>
      </w:r>
    </w:p>
    <w:p w14:paraId="0F5CD47E" w14:textId="77777777" w:rsidR="006B1F12" w:rsidRDefault="006B1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tbl>
      <w:tblPr>
        <w:tblStyle w:val="aff2"/>
        <w:tblW w:w="10651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6091"/>
        <w:gridCol w:w="4560"/>
      </w:tblGrid>
      <w:tr w:rsidR="006B1F12" w14:paraId="0F5CD481" w14:textId="77777777">
        <w:trPr>
          <w:trHeight w:val="482"/>
        </w:trPr>
        <w:tc>
          <w:tcPr>
            <w:tcW w:w="6091" w:type="dxa"/>
          </w:tcPr>
          <w:p w14:paraId="0F5CD47F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Мова технічної та фінансової документації </w:t>
            </w:r>
            <w:proofErr w:type="spellStart"/>
            <w:r>
              <w:rPr>
                <w:sz w:val="24"/>
                <w:szCs w:val="24"/>
              </w:rPr>
              <w:t>проєктів</w:t>
            </w:r>
            <w:proofErr w:type="spellEnd"/>
          </w:p>
        </w:tc>
        <w:tc>
          <w:tcPr>
            <w:tcW w:w="4560" w:type="dxa"/>
          </w:tcPr>
          <w:p w14:paraId="0F5CD480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Українська, Англійська </w:t>
            </w:r>
          </w:p>
        </w:tc>
      </w:tr>
      <w:tr w:rsidR="006B1F12" w14:paraId="0F5CD484" w14:textId="77777777">
        <w:trPr>
          <w:trHeight w:val="417"/>
        </w:trPr>
        <w:tc>
          <w:tcPr>
            <w:tcW w:w="6091" w:type="dxa"/>
          </w:tcPr>
          <w:p w14:paraId="0F5CD482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Робоча мова, що спілкується команда Замовника </w:t>
            </w:r>
          </w:p>
        </w:tc>
        <w:tc>
          <w:tcPr>
            <w:tcW w:w="4560" w:type="dxa"/>
          </w:tcPr>
          <w:p w14:paraId="0F5CD483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Українська, Англійська</w:t>
            </w:r>
          </w:p>
        </w:tc>
      </w:tr>
      <w:tr w:rsidR="006B1F12" w14:paraId="0F5CD487" w14:textId="77777777">
        <w:trPr>
          <w:trHeight w:val="410"/>
        </w:trPr>
        <w:tc>
          <w:tcPr>
            <w:tcW w:w="6091" w:type="dxa"/>
          </w:tcPr>
          <w:p w14:paraId="0F5CD485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Мова звіту аудиту</w:t>
            </w:r>
          </w:p>
        </w:tc>
        <w:tc>
          <w:tcPr>
            <w:tcW w:w="4560" w:type="dxa"/>
          </w:tcPr>
          <w:p w14:paraId="0F5CD486" w14:textId="77777777" w:rsidR="006B1F12" w:rsidRDefault="004958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Українська, Англійська</w:t>
            </w:r>
          </w:p>
        </w:tc>
      </w:tr>
    </w:tbl>
    <w:p w14:paraId="0F5CD488" w14:textId="77777777" w:rsidR="006B1F12" w:rsidRDefault="006B1F12">
      <w:pPr>
        <w:pStyle w:val="1"/>
        <w:spacing w:after="0"/>
        <w:ind w:left="1701"/>
        <w:rPr>
          <w:rFonts w:ascii="Calibri" w:eastAsia="Calibri" w:hAnsi="Calibri" w:cs="Calibri"/>
        </w:rPr>
      </w:pPr>
      <w:bookmarkStart w:id="17" w:name="_heading=h.2jxsxqh" w:colFirst="0" w:colLast="0"/>
      <w:bookmarkEnd w:id="17"/>
    </w:p>
    <w:p w14:paraId="0F5CD489" w14:textId="77777777" w:rsidR="006B1F12" w:rsidRDefault="00495819">
      <w:pPr>
        <w:spacing w:after="0" w:line="240" w:lineRule="auto"/>
        <w:rPr>
          <w:b/>
          <w:sz w:val="24"/>
          <w:szCs w:val="24"/>
        </w:rPr>
      </w:pPr>
      <w:r>
        <w:br w:type="page"/>
      </w:r>
    </w:p>
    <w:p w14:paraId="0F5CD48A" w14:textId="77777777" w:rsidR="006B1F12" w:rsidRDefault="00495819">
      <w:pPr>
        <w:pStyle w:val="1"/>
        <w:spacing w:after="0"/>
        <w:ind w:left="1701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Додаток № 3</w:t>
      </w:r>
    </w:p>
    <w:p w14:paraId="0F5CD48B" w14:textId="77777777" w:rsidR="006B1F12" w:rsidRDefault="006B1F12"/>
    <w:p w14:paraId="0F5CD48C" w14:textId="77777777" w:rsidR="006B1F12" w:rsidRDefault="0049581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Технічне завдання на проведення зовнішнього аудиту</w:t>
      </w:r>
    </w:p>
    <w:p w14:paraId="0F5CD48D" w14:textId="77777777" w:rsidR="006B1F12" w:rsidRDefault="00495819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Сфера</w:t>
      </w:r>
    </w:p>
    <w:p w14:paraId="0F5CD48E" w14:textId="77777777" w:rsidR="006B1F12" w:rsidRDefault="0049581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Аудит повинен охоплювати бухгалтерську та фінансову документацію по проекту, що зазначено у Додатку № 2 цього Запиту, у фокусі на наступні документи:</w:t>
      </w:r>
    </w:p>
    <w:p w14:paraId="0F5CD48F" w14:textId="77777777" w:rsidR="006B1F12" w:rsidRDefault="0049581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Документи щодо надходження та витрачання коштів</w:t>
      </w:r>
    </w:p>
    <w:p w14:paraId="0F5CD490" w14:textId="77777777" w:rsidR="006B1F12" w:rsidRDefault="0049581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Звітність донору</w:t>
      </w:r>
    </w:p>
    <w:p w14:paraId="0F5CD491" w14:textId="77777777" w:rsidR="006B1F12" w:rsidRDefault="0049581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Аудиторам буде надано повний доступ до документів, що стосуються цього аудиту. Всю цю інформацію слід вважати конфіденційною.</w:t>
      </w:r>
    </w:p>
    <w:p w14:paraId="0F5CD492" w14:textId="77777777" w:rsidR="006B1F12" w:rsidRDefault="006B1F12">
      <w:pPr>
        <w:spacing w:after="0" w:line="240" w:lineRule="auto"/>
        <w:jc w:val="both"/>
        <w:rPr>
          <w:sz w:val="24"/>
          <w:szCs w:val="24"/>
        </w:rPr>
      </w:pPr>
    </w:p>
    <w:p w14:paraId="0F5CD493" w14:textId="77777777" w:rsidR="006B1F12" w:rsidRDefault="00495819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Цілі, завдання аудиту</w:t>
      </w:r>
    </w:p>
    <w:p w14:paraId="0F5CD494" w14:textId="77777777" w:rsidR="006B1F12" w:rsidRDefault="0049581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Необхідно провести фінансовий аудит проектів Замовника за 2022-2023 р., що були профінансовані за кошти PWJ</w:t>
      </w:r>
      <w:r>
        <w:rPr>
          <w:sz w:val="24"/>
          <w:szCs w:val="24"/>
        </w:rPr>
        <w:t xml:space="preserve">/JPF, відповідно до стандартів GAGAS або ISA у поєднанні з GAGAS або ISSAI у поєднанні з GAGAS. </w:t>
      </w:r>
    </w:p>
    <w:p w14:paraId="0F5CD495" w14:textId="77777777" w:rsidR="006B1F12" w:rsidRDefault="006B1F12">
      <w:pPr>
        <w:spacing w:after="0" w:line="240" w:lineRule="auto"/>
        <w:jc w:val="both"/>
        <w:rPr>
          <w:sz w:val="24"/>
          <w:szCs w:val="24"/>
        </w:rPr>
      </w:pPr>
    </w:p>
    <w:p w14:paraId="0F5CD496" w14:textId="77777777" w:rsidR="006B1F12" w:rsidRDefault="0049581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Основною метою аудиту фінансової звітності є надати висновок про те, чи в цілому фінансова звітність суб'єкта господарювання представлена справедливо, у відно</w:t>
      </w:r>
      <w:r>
        <w:rPr>
          <w:sz w:val="24"/>
          <w:szCs w:val="24"/>
        </w:rPr>
        <w:t>шенні до всіх матеріальних аспектів, у відповідності до застосовних загальноприйнятих бухгалтерських принципів або стандартів фінансової звітності. Звітність про проведені фінансові перевірки також включає звіти про внутрішній контроль щодо фінансової звіт</w:t>
      </w:r>
      <w:r>
        <w:rPr>
          <w:sz w:val="24"/>
          <w:szCs w:val="24"/>
        </w:rPr>
        <w:t>ності та дотримання положень законів, нормативних актів, контрактів і грантових угод, які мають суттєвий вплив на фінансову звітність.</w:t>
      </w:r>
    </w:p>
    <w:p w14:paraId="0F5CD497" w14:textId="77777777" w:rsidR="006B1F12" w:rsidRDefault="006B1F12">
      <w:pPr>
        <w:spacing w:after="0" w:line="240" w:lineRule="auto"/>
        <w:jc w:val="both"/>
        <w:rPr>
          <w:sz w:val="24"/>
          <w:szCs w:val="24"/>
        </w:rPr>
      </w:pPr>
    </w:p>
    <w:p w14:paraId="0F5CD498" w14:textId="77777777" w:rsidR="006B1F12" w:rsidRDefault="0049581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Аудит повинен з’ясувати чи:</w:t>
      </w:r>
    </w:p>
    <w:p w14:paraId="0F5CD499" w14:textId="77777777" w:rsidR="006B1F12" w:rsidRDefault="004958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Витрати належним чином підтверджені оригіналами первинних документів та були належним чином доведені;</w:t>
      </w:r>
    </w:p>
    <w:p w14:paraId="0F5CD49A" w14:textId="77777777" w:rsidR="006B1F12" w:rsidRDefault="004958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витрати були понесені протягом періоду реалізації </w:t>
      </w:r>
      <w:proofErr w:type="spellStart"/>
      <w:r>
        <w:rPr>
          <w:color w:val="000000"/>
          <w:sz w:val="24"/>
          <w:szCs w:val="24"/>
        </w:rPr>
        <w:t>проєкту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ів</w:t>
      </w:r>
      <w:proofErr w:type="spellEnd"/>
      <w:r>
        <w:rPr>
          <w:color w:val="000000"/>
          <w:sz w:val="24"/>
          <w:szCs w:val="24"/>
        </w:rPr>
        <w:t>) та відповідно відображені згідно стандартів бухгалтерського обліку;</w:t>
      </w:r>
    </w:p>
    <w:p w14:paraId="0F5CD49B" w14:textId="77777777" w:rsidR="006B1F12" w:rsidRDefault="004958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витрати, пов’язані з </w:t>
      </w:r>
      <w:proofErr w:type="spellStart"/>
      <w:r>
        <w:rPr>
          <w:color w:val="000000"/>
          <w:sz w:val="24"/>
          <w:szCs w:val="24"/>
        </w:rPr>
        <w:t>пр</w:t>
      </w:r>
      <w:r>
        <w:rPr>
          <w:color w:val="000000"/>
          <w:sz w:val="24"/>
          <w:szCs w:val="24"/>
        </w:rPr>
        <w:t>оєктом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ами</w:t>
      </w:r>
      <w:proofErr w:type="spellEnd"/>
      <w:r>
        <w:rPr>
          <w:color w:val="000000"/>
          <w:sz w:val="24"/>
          <w:szCs w:val="24"/>
        </w:rPr>
        <w:t>), були належним чином дозволені;</w:t>
      </w:r>
    </w:p>
    <w:p w14:paraId="0F5CD49C" w14:textId="77777777" w:rsidR="006B1F12" w:rsidRDefault="004958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метод, що застосований для конвертації гривень у валюту звітів, є прийнятним;</w:t>
      </w:r>
    </w:p>
    <w:p w14:paraId="0F5CD49D" w14:textId="7C3F64E5" w:rsidR="006B1F12" w:rsidRDefault="0049581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аудитор повинен розробляти етапи та процедури відповідно до GAGAS. Фінансовий аудит коштів, наданих </w:t>
      </w:r>
      <w:r w:rsidR="00953F7B">
        <w:rPr>
          <w:color w:val="000000"/>
          <w:sz w:val="24"/>
          <w:szCs w:val="24"/>
        </w:rPr>
        <w:t>донором</w:t>
      </w:r>
      <w:r>
        <w:rPr>
          <w:color w:val="000000"/>
          <w:sz w:val="24"/>
          <w:szCs w:val="24"/>
        </w:rPr>
        <w:t>, повинен проводитись відпов</w:t>
      </w:r>
      <w:r>
        <w:rPr>
          <w:color w:val="000000"/>
          <w:sz w:val="24"/>
          <w:szCs w:val="24"/>
        </w:rPr>
        <w:t xml:space="preserve">ідно до GAGAS. У поєднанні з GAGAS можуть бути застосовані </w:t>
      </w:r>
      <w:r>
        <w:rPr>
          <w:color w:val="000000"/>
          <w:sz w:val="24"/>
          <w:szCs w:val="24"/>
        </w:rPr>
        <w:t xml:space="preserve">міжнародні стандарти ISA та ISSAI, де це можливо, і відповідно включатиме такі тести бухгалтерських записів, які вважаються необхідними за таких обставин. </w:t>
      </w:r>
    </w:p>
    <w:p w14:paraId="0F5CD49E" w14:textId="77777777" w:rsidR="006B1F12" w:rsidRDefault="006B1F12">
      <w:pPr>
        <w:spacing w:after="0" w:line="240" w:lineRule="auto"/>
        <w:jc w:val="both"/>
        <w:rPr>
          <w:b/>
          <w:sz w:val="24"/>
          <w:szCs w:val="24"/>
        </w:rPr>
      </w:pPr>
    </w:p>
    <w:p w14:paraId="0F5CD49F" w14:textId="77777777" w:rsidR="006B1F12" w:rsidRDefault="00495819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Методологія</w:t>
      </w:r>
    </w:p>
    <w:p w14:paraId="0F5CD4A0" w14:textId="77777777" w:rsidR="006B1F12" w:rsidRDefault="004958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Аудит має бути проведений у</w:t>
      </w:r>
      <w:r>
        <w:rPr>
          <w:color w:val="000000"/>
          <w:sz w:val="24"/>
          <w:szCs w:val="24"/>
        </w:rPr>
        <w:t xml:space="preserve"> відповідності до Інструкцій щодо реалізації проекту та субсидій, що наводяться у додатках до даної документації (англійською та українською мовами).</w:t>
      </w:r>
    </w:p>
    <w:p w14:paraId="0F5CD4A1" w14:textId="77777777" w:rsidR="006B1F12" w:rsidRDefault="006B1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0F5CD4A2" w14:textId="77777777" w:rsidR="006B1F12" w:rsidRDefault="004958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Аудитор також може вирішити застосувати стандарти,  встановлені Радою з міжнародних стандартів аудиту та надання впевненості (</w:t>
      </w:r>
      <w:proofErr w:type="spellStart"/>
      <w:r>
        <w:rPr>
          <w:color w:val="000000"/>
          <w:sz w:val="24"/>
          <w:szCs w:val="24"/>
        </w:rPr>
        <w:t>International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Auditing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Assurance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Standards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Board</w:t>
      </w:r>
      <w:proofErr w:type="spellEnd"/>
      <w:r>
        <w:rPr>
          <w:color w:val="000000"/>
          <w:sz w:val="24"/>
          <w:szCs w:val="24"/>
        </w:rPr>
        <w:t xml:space="preserve"> IAASB)  та відповідними Міжнародними стандартами аудиту (</w:t>
      </w:r>
      <w:proofErr w:type="spellStart"/>
      <w:r>
        <w:rPr>
          <w:sz w:val="24"/>
          <w:szCs w:val="24"/>
        </w:rPr>
        <w:t>International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Standa</w:t>
      </w:r>
      <w:r>
        <w:rPr>
          <w:sz w:val="24"/>
          <w:szCs w:val="24"/>
        </w:rPr>
        <w:t>rds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Auditing</w:t>
      </w:r>
      <w:proofErr w:type="spellEnd"/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ISA), однак ці стандарти повинні застосовувати </w:t>
      </w:r>
      <w:r>
        <w:rPr>
          <w:b/>
          <w:color w:val="000000"/>
          <w:sz w:val="24"/>
          <w:szCs w:val="24"/>
        </w:rPr>
        <w:t>в поєднанні з GAGAS</w:t>
      </w:r>
      <w:r>
        <w:rPr>
          <w:color w:val="000000"/>
          <w:sz w:val="24"/>
          <w:szCs w:val="24"/>
        </w:rPr>
        <w:t>.</w:t>
      </w:r>
    </w:p>
    <w:p w14:paraId="0F5CD4A3" w14:textId="77777777" w:rsidR="006B1F12" w:rsidRDefault="0049581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Міжнародні стандарти для вищих аудиторських інституцій (</w:t>
      </w:r>
      <w:proofErr w:type="spellStart"/>
      <w:r>
        <w:rPr>
          <w:color w:val="000000"/>
          <w:sz w:val="24"/>
          <w:szCs w:val="24"/>
        </w:rPr>
        <w:t>The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International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Standards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of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Supreme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Audit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Institutions</w:t>
      </w:r>
      <w:proofErr w:type="spellEnd"/>
      <w:r>
        <w:rPr>
          <w:color w:val="000000"/>
          <w:sz w:val="24"/>
          <w:szCs w:val="24"/>
        </w:rPr>
        <w:t xml:space="preserve"> ISSAI), видані Міжнародною організацією вищих аудиторських</w:t>
      </w:r>
      <w:r>
        <w:rPr>
          <w:color w:val="000000"/>
          <w:sz w:val="24"/>
          <w:szCs w:val="24"/>
        </w:rPr>
        <w:t xml:space="preserve"> інституцій (</w:t>
      </w:r>
      <w:proofErr w:type="spellStart"/>
      <w:r>
        <w:rPr>
          <w:color w:val="000000"/>
          <w:sz w:val="24"/>
          <w:szCs w:val="24"/>
        </w:rPr>
        <w:t>International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Organization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of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Supreme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Audit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Institutions</w:t>
      </w:r>
      <w:proofErr w:type="spellEnd"/>
      <w:r>
        <w:rPr>
          <w:color w:val="000000"/>
          <w:sz w:val="24"/>
          <w:szCs w:val="24"/>
        </w:rPr>
        <w:t xml:space="preserve"> INTOSAI) для аудиту державного сектору можуть використовуватися </w:t>
      </w:r>
      <w:r>
        <w:rPr>
          <w:b/>
          <w:color w:val="000000"/>
          <w:sz w:val="24"/>
          <w:szCs w:val="24"/>
        </w:rPr>
        <w:t>в поєднанні з GAGAS</w:t>
      </w:r>
      <w:r>
        <w:rPr>
          <w:color w:val="000000"/>
          <w:sz w:val="24"/>
          <w:szCs w:val="24"/>
        </w:rPr>
        <w:t>.</w:t>
      </w:r>
    </w:p>
    <w:p w14:paraId="0F5CD4A4" w14:textId="77777777" w:rsidR="006B1F12" w:rsidRDefault="006B1F1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20"/>
        <w:jc w:val="both"/>
        <w:rPr>
          <w:color w:val="000000"/>
          <w:sz w:val="24"/>
          <w:szCs w:val="24"/>
        </w:rPr>
      </w:pPr>
    </w:p>
    <w:p w14:paraId="0F5CD4A5" w14:textId="77777777" w:rsidR="006B1F12" w:rsidRDefault="00495819">
      <w:pPr>
        <w:spacing w:after="0" w:line="240" w:lineRule="auto"/>
        <w:jc w:val="both"/>
        <w:rPr>
          <w:b/>
          <w:sz w:val="24"/>
          <w:szCs w:val="24"/>
        </w:rPr>
      </w:pPr>
      <w:bookmarkStart w:id="18" w:name="_heading=h.z337ya" w:colFirst="0" w:colLast="0"/>
      <w:bookmarkEnd w:id="18"/>
      <w:r>
        <w:rPr>
          <w:b/>
          <w:sz w:val="24"/>
          <w:szCs w:val="24"/>
        </w:rPr>
        <w:t xml:space="preserve">Порядок проведення аудиту </w:t>
      </w:r>
    </w:p>
    <w:p w14:paraId="0F5CD4A6" w14:textId="77777777" w:rsidR="006B1F12" w:rsidRDefault="004958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Аудитор самостійно розробляє, планує та виконує усі необхідні аудиторські</w:t>
      </w:r>
      <w:r>
        <w:rPr>
          <w:sz w:val="24"/>
          <w:szCs w:val="24"/>
        </w:rPr>
        <w:t xml:space="preserve"> процедури, керуючись </w:t>
      </w:r>
      <w:r>
        <w:rPr>
          <w:color w:val="000000"/>
          <w:sz w:val="24"/>
          <w:szCs w:val="24"/>
        </w:rPr>
        <w:t xml:space="preserve">наданими, </w:t>
      </w:r>
      <w:r>
        <w:rPr>
          <w:sz w:val="24"/>
          <w:szCs w:val="24"/>
        </w:rPr>
        <w:t xml:space="preserve">міжнародними стандартами аудиту GAGAS. </w:t>
      </w:r>
    </w:p>
    <w:p w14:paraId="0F5CD4A7" w14:textId="77777777" w:rsidR="006B1F12" w:rsidRDefault="004958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Аудитори повинні проводити аудит відповідно до Додатків 1, 2 та 3 що наводяться у даній тендерній документації. </w:t>
      </w:r>
    </w:p>
    <w:p w14:paraId="0F5CD4A8" w14:textId="77777777" w:rsidR="006B1F12" w:rsidRDefault="006B1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14:paraId="0F5CD4A9" w14:textId="77777777" w:rsidR="006B1F12" w:rsidRDefault="0049581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БФ «ПРАВО НА ЗАХИСТ» зобов’язується надати аудитору доступ до усієї інформації та документів, які стосуються діяльності та фінансової звітності організації в частині </w:t>
      </w:r>
      <w:proofErr w:type="spellStart"/>
      <w:r>
        <w:rPr>
          <w:sz w:val="24"/>
          <w:szCs w:val="24"/>
        </w:rPr>
        <w:t>проєктів</w:t>
      </w:r>
      <w:proofErr w:type="spellEnd"/>
      <w:r>
        <w:rPr>
          <w:sz w:val="24"/>
          <w:szCs w:val="24"/>
        </w:rPr>
        <w:t xml:space="preserve">, що перевірятимуться, та надати  необхідні роз’яснення, у тому числі у письмовій </w:t>
      </w:r>
      <w:r>
        <w:rPr>
          <w:sz w:val="24"/>
          <w:szCs w:val="24"/>
        </w:rPr>
        <w:t xml:space="preserve">формі, за вказаний період та за списком </w:t>
      </w:r>
      <w:proofErr w:type="spellStart"/>
      <w:r>
        <w:rPr>
          <w:sz w:val="24"/>
          <w:szCs w:val="24"/>
        </w:rPr>
        <w:t>проєктів</w:t>
      </w:r>
      <w:proofErr w:type="spellEnd"/>
      <w:r>
        <w:rPr>
          <w:sz w:val="24"/>
          <w:szCs w:val="24"/>
        </w:rPr>
        <w:t>, що вказані у Додатку № 2 цього Запиту.</w:t>
      </w:r>
    </w:p>
    <w:p w14:paraId="0F5CD4AA" w14:textId="77777777" w:rsidR="006B1F12" w:rsidRDefault="0049581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F5CD4AB" w14:textId="77777777" w:rsidR="006B1F12" w:rsidRDefault="00495819">
      <w:pPr>
        <w:spacing w:after="0" w:line="240" w:lineRule="auto"/>
        <w:jc w:val="both"/>
        <w:rPr>
          <w:b/>
          <w:sz w:val="24"/>
          <w:szCs w:val="24"/>
        </w:rPr>
      </w:pPr>
      <w:bookmarkStart w:id="19" w:name="_heading=h.3j2qqm3" w:colFirst="0" w:colLast="0"/>
      <w:bookmarkEnd w:id="19"/>
      <w:r>
        <w:rPr>
          <w:b/>
          <w:sz w:val="24"/>
          <w:szCs w:val="24"/>
        </w:rPr>
        <w:t xml:space="preserve">Звітування </w:t>
      </w:r>
    </w:p>
    <w:p w14:paraId="0F5CD4AC" w14:textId="77777777" w:rsidR="006B1F12" w:rsidRDefault="0049581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Аудитори повинні надати </w:t>
      </w:r>
      <w:proofErr w:type="spellStart"/>
      <w:r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звіту про своє припущення бачення результатів аудиту,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управлінський звіт та пакет висновків і рекомендації, не пізніше ніж через місяць після закінчення своєї роботи:</w:t>
      </w:r>
    </w:p>
    <w:p w14:paraId="0F5CD4AD" w14:textId="77777777" w:rsidR="006B1F12" w:rsidRDefault="004958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Аудитори повинні виконати кроки, описані в інструкціях та підготувати звіт по формі ілюстративного аудиторського звіту, із зазначенням будь-яки</w:t>
      </w:r>
      <w:r>
        <w:rPr>
          <w:color w:val="000000"/>
          <w:sz w:val="24"/>
          <w:szCs w:val="24"/>
        </w:rPr>
        <w:t>х істотних недоліків в роботі внутрішнього контролю. У звіті про аудит мають бути зазначені номери всіх грантових угод, охоплених аудитом. Звіт має містити всі пункти, як перераховано у вимогах до аудиту.</w:t>
      </w:r>
    </w:p>
    <w:p w14:paraId="0F5CD4AE" w14:textId="77777777" w:rsidR="006B1F12" w:rsidRDefault="004958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звіт щодо внутрішнього контролю. У ньому міститимет</w:t>
      </w:r>
      <w:r>
        <w:rPr>
          <w:color w:val="000000"/>
          <w:sz w:val="24"/>
          <w:szCs w:val="24"/>
        </w:rPr>
        <w:t xml:space="preserve">ься інформація про обсяг аудиторських процедур щодо отримання розуміння про систему внутрішнього контролю та оцінки ризику контролю; та значні недоліки та істотні вади у системі внутрішнього контролю Організації </w:t>
      </w:r>
    </w:p>
    <w:p w14:paraId="0F5CD4AF" w14:textId="77777777" w:rsidR="006B1F12" w:rsidRDefault="004958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аудиторський звіт щодо відповідності діяльн</w:t>
      </w:r>
      <w:r>
        <w:rPr>
          <w:color w:val="000000"/>
          <w:sz w:val="24"/>
          <w:szCs w:val="24"/>
        </w:rPr>
        <w:t xml:space="preserve">ості Організації умовам договорів з донорами, законодавчим та іншим нормативно-правовим актам  </w:t>
      </w:r>
    </w:p>
    <w:p w14:paraId="0F5CD4B0" w14:textId="77777777" w:rsidR="006B1F12" w:rsidRDefault="004958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звіт аудитора щодо того чи відображають Звіти про використання коштів за Проектами достовірно, в усіх суттєвих аспектах, надходження коштів, понесені витрати пр</w:t>
      </w:r>
      <w:r>
        <w:rPr>
          <w:color w:val="000000"/>
          <w:sz w:val="24"/>
          <w:szCs w:val="24"/>
        </w:rPr>
        <w:t>отягом періоду з 01.10.2022 по 31.05.2023, за який проводиться перевірка, відповідно до умов угод з донорами та загальноприйнятих принципів бухгалтерського обліку.</w:t>
      </w:r>
    </w:p>
    <w:p w14:paraId="0F5CD4B1" w14:textId="77777777" w:rsidR="006B1F12" w:rsidRDefault="0049581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підсумковий лист управлінському персоналу. </w:t>
      </w:r>
    </w:p>
    <w:p w14:paraId="0F5CD4B2" w14:textId="77777777" w:rsidR="006B1F12" w:rsidRDefault="006B1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sz w:val="24"/>
          <w:szCs w:val="24"/>
        </w:rPr>
      </w:pPr>
    </w:p>
    <w:p w14:paraId="0F5CD4B3" w14:textId="77777777" w:rsidR="006B1F12" w:rsidRDefault="004958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Відповідні звіти повинні містити думку аудитора. Звіти повинні містити результати перевірки, а також запевнення того, що аудит було проведено у відповідності до вимог PWJ/JPF і кваліфікованим аудитором. Перелік результатів не обмежується визначеним перелік</w:t>
      </w:r>
      <w:r>
        <w:rPr>
          <w:color w:val="000000"/>
          <w:sz w:val="24"/>
          <w:szCs w:val="24"/>
        </w:rPr>
        <w:t xml:space="preserve">ом робіт, і аудитор може також висвітлити інші питання. Звіт має містити детальну інформацію стосовно методології аудиту та обсягу проведеної перевірки. </w:t>
      </w:r>
    </w:p>
    <w:p w14:paraId="0F5CD4B4" w14:textId="77777777" w:rsidR="006B1F12" w:rsidRDefault="006B1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0F5CD4B5" w14:textId="77777777" w:rsidR="006B1F12" w:rsidRDefault="004958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Аудитор повинен надати рекомендації для виправлення усіх виявлених недоліків. Рекомендації повинні бу</w:t>
      </w:r>
      <w:r>
        <w:rPr>
          <w:color w:val="000000"/>
          <w:sz w:val="24"/>
          <w:szCs w:val="24"/>
        </w:rPr>
        <w:t>ти подані в порядку пріоритетності. Також у разі наявності у листі розглядаються питання:</w:t>
      </w:r>
      <w:r>
        <w:rPr>
          <w:sz w:val="24"/>
          <w:szCs w:val="24"/>
        </w:rPr>
        <w:t xml:space="preserve"> виявлення порушень або шахрайства </w:t>
      </w:r>
    </w:p>
    <w:p w14:paraId="0F5CD4B6" w14:textId="77777777" w:rsidR="006B1F12" w:rsidRDefault="006B1F12">
      <w:pPr>
        <w:spacing w:after="0" w:line="240" w:lineRule="auto"/>
        <w:jc w:val="both"/>
        <w:rPr>
          <w:sz w:val="24"/>
          <w:szCs w:val="24"/>
        </w:rPr>
      </w:pPr>
    </w:p>
    <w:p w14:paraId="0F5CD4B7" w14:textId="77777777" w:rsidR="006B1F12" w:rsidRDefault="0049581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 разі виявлення невиправданих витрати аудитори повинні доповнити свої аудиторські висновки заявою з зазначенням причин та сум.</w:t>
      </w:r>
    </w:p>
    <w:p w14:paraId="0F5CD4B8" w14:textId="77777777" w:rsidR="006B1F12" w:rsidRDefault="006B1F12">
      <w:pPr>
        <w:spacing w:after="0" w:line="240" w:lineRule="auto"/>
        <w:jc w:val="both"/>
        <w:rPr>
          <w:sz w:val="24"/>
          <w:szCs w:val="24"/>
        </w:rPr>
      </w:pPr>
    </w:p>
    <w:p w14:paraId="0F5CD4B9" w14:textId="77777777" w:rsidR="006B1F12" w:rsidRDefault="0049581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>
        <w:rPr>
          <w:sz w:val="24"/>
          <w:szCs w:val="24"/>
        </w:rPr>
        <w:t>віт має містити підпис та посаду відповідального аудитора, назву аудиторської компанії.</w:t>
      </w:r>
    </w:p>
    <w:p w14:paraId="0F5CD4BA" w14:textId="77777777" w:rsidR="006B1F12" w:rsidRDefault="006B1F12">
      <w:pPr>
        <w:spacing w:after="0" w:line="240" w:lineRule="auto"/>
        <w:jc w:val="both"/>
        <w:rPr>
          <w:sz w:val="24"/>
          <w:szCs w:val="24"/>
        </w:rPr>
      </w:pPr>
    </w:p>
    <w:p w14:paraId="0F5CD4BB" w14:textId="77777777" w:rsidR="006B1F12" w:rsidRDefault="0049581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Цей </w:t>
      </w:r>
      <w:proofErr w:type="spellStart"/>
      <w:r>
        <w:rPr>
          <w:sz w:val="24"/>
          <w:szCs w:val="24"/>
        </w:rPr>
        <w:t>проєкт</w:t>
      </w:r>
      <w:proofErr w:type="spellEnd"/>
      <w:r>
        <w:rPr>
          <w:sz w:val="24"/>
          <w:szCs w:val="24"/>
        </w:rPr>
        <w:t xml:space="preserve"> пакету документів має бути розглянутий двома сторонами до того, як буде складено остаточний фінальний звіт. Остаточний фінальний звіт повинен досягати цілей</w:t>
      </w:r>
      <w:r>
        <w:rPr>
          <w:sz w:val="24"/>
          <w:szCs w:val="24"/>
        </w:rPr>
        <w:t>, викладених у цьому Технічному завданні.</w:t>
      </w:r>
    </w:p>
    <w:p w14:paraId="0F5CD4BC" w14:textId="77777777" w:rsidR="006B1F12" w:rsidRDefault="006B1F12">
      <w:pPr>
        <w:spacing w:after="0" w:line="240" w:lineRule="auto"/>
        <w:jc w:val="both"/>
        <w:rPr>
          <w:sz w:val="24"/>
          <w:szCs w:val="24"/>
        </w:rPr>
      </w:pPr>
    </w:p>
    <w:p w14:paraId="0F5CD4BD" w14:textId="77777777" w:rsidR="006B1F12" w:rsidRDefault="00495819">
      <w:pPr>
        <w:spacing w:after="0" w:line="240" w:lineRule="auto"/>
        <w:jc w:val="both"/>
        <w:rPr>
          <w:color w:val="405E66"/>
          <w:sz w:val="24"/>
          <w:szCs w:val="24"/>
        </w:rPr>
      </w:pPr>
      <w:r>
        <w:rPr>
          <w:sz w:val="24"/>
          <w:szCs w:val="24"/>
        </w:rPr>
        <w:t>Звіт готується українською та англійською мовами, що матимуть аутентичну силу, і подається до організації у двох паперових примірниках і цифрових примірниках не пізніше </w:t>
      </w:r>
      <w:r>
        <w:rPr>
          <w:b/>
          <w:sz w:val="24"/>
          <w:szCs w:val="24"/>
        </w:rPr>
        <w:t>06.07.2023 року</w:t>
      </w:r>
      <w:r>
        <w:rPr>
          <w:b/>
          <w:color w:val="405E66"/>
          <w:sz w:val="24"/>
          <w:szCs w:val="24"/>
        </w:rPr>
        <w:t>.</w:t>
      </w:r>
    </w:p>
    <w:p w14:paraId="0F5CD4BE" w14:textId="77777777" w:rsidR="006B1F12" w:rsidRDefault="006B1F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jc w:val="right"/>
        <w:rPr>
          <w:color w:val="000000"/>
          <w:sz w:val="24"/>
          <w:szCs w:val="24"/>
        </w:rPr>
      </w:pPr>
    </w:p>
    <w:sectPr w:rsidR="006B1F12">
      <w:headerReference w:type="default" r:id="rId10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5CD4CB" w14:textId="77777777" w:rsidR="00000000" w:rsidRDefault="00495819">
      <w:pPr>
        <w:spacing w:after="0" w:line="240" w:lineRule="auto"/>
      </w:pPr>
      <w:r>
        <w:separator/>
      </w:r>
    </w:p>
  </w:endnote>
  <w:endnote w:type="continuationSeparator" w:id="0">
    <w:p w14:paraId="0F5CD4CD" w14:textId="77777777" w:rsidR="00000000" w:rsidRDefault="00495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CD4C7" w14:textId="77777777" w:rsidR="00000000" w:rsidRDefault="00495819">
      <w:pPr>
        <w:spacing w:after="0" w:line="240" w:lineRule="auto"/>
      </w:pPr>
      <w:r>
        <w:separator/>
      </w:r>
    </w:p>
  </w:footnote>
  <w:footnote w:type="continuationSeparator" w:id="0">
    <w:p w14:paraId="0F5CD4C9" w14:textId="77777777" w:rsidR="00000000" w:rsidRDefault="00495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CD4BF" w14:textId="77777777" w:rsidR="006B1F12" w:rsidRDefault="006B1F12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24"/>
        <w:szCs w:val="24"/>
      </w:rPr>
    </w:pPr>
  </w:p>
  <w:tbl>
    <w:tblPr>
      <w:tblStyle w:val="aff3"/>
      <w:tblW w:w="10466" w:type="dxa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657"/>
      <w:gridCol w:w="5809"/>
    </w:tblGrid>
    <w:tr w:rsidR="006B1F12" w14:paraId="0F5CD4C5" w14:textId="77777777">
      <w:tc>
        <w:tcPr>
          <w:tcW w:w="4657" w:type="dxa"/>
        </w:tcPr>
        <w:p w14:paraId="0F5CD4C0" w14:textId="77777777" w:rsidR="006B1F12" w:rsidRDefault="00495819">
          <w:pPr>
            <w:jc w:val="both"/>
            <w:rPr>
              <w:b/>
              <w:i/>
              <w:color w:val="000000"/>
            </w:rPr>
          </w:pPr>
          <w:proofErr w:type="spellStart"/>
          <w:r>
            <w:rPr>
              <w:b/>
              <w:i/>
              <w:color w:val="000000"/>
            </w:rPr>
            <w:t>Charitable</w:t>
          </w:r>
          <w:proofErr w:type="spellEnd"/>
          <w:r>
            <w:rPr>
              <w:b/>
              <w:i/>
              <w:color w:val="000000"/>
            </w:rPr>
            <w:t xml:space="preserve"> </w:t>
          </w:r>
          <w:proofErr w:type="spellStart"/>
          <w:r>
            <w:rPr>
              <w:b/>
              <w:i/>
              <w:color w:val="000000"/>
            </w:rPr>
            <w:t>Fund</w:t>
          </w:r>
          <w:proofErr w:type="spellEnd"/>
          <w:r>
            <w:rPr>
              <w:b/>
              <w:i/>
              <w:color w:val="000000"/>
            </w:rPr>
            <w:t xml:space="preserve"> "</w:t>
          </w:r>
          <w:proofErr w:type="spellStart"/>
          <w:r>
            <w:rPr>
              <w:b/>
              <w:i/>
              <w:color w:val="000000"/>
            </w:rPr>
            <w:t>Right</w:t>
          </w:r>
          <w:proofErr w:type="spellEnd"/>
          <w:r>
            <w:rPr>
              <w:b/>
              <w:i/>
              <w:color w:val="000000"/>
            </w:rPr>
            <w:t xml:space="preserve"> </w:t>
          </w:r>
          <w:proofErr w:type="spellStart"/>
          <w:r>
            <w:rPr>
              <w:b/>
              <w:i/>
              <w:color w:val="000000"/>
            </w:rPr>
            <w:t>to</w:t>
          </w:r>
          <w:proofErr w:type="spellEnd"/>
          <w:r>
            <w:rPr>
              <w:b/>
              <w:i/>
              <w:color w:val="000000"/>
            </w:rPr>
            <w:t xml:space="preserve"> </w:t>
          </w:r>
          <w:proofErr w:type="spellStart"/>
          <w:r>
            <w:rPr>
              <w:b/>
              <w:i/>
              <w:color w:val="000000"/>
            </w:rPr>
            <w:t>Protection</w:t>
          </w:r>
          <w:proofErr w:type="spellEnd"/>
          <w:r>
            <w:rPr>
              <w:b/>
              <w:i/>
              <w:color w:val="000000"/>
            </w:rPr>
            <w:t>"</w:t>
          </w:r>
          <w:r>
            <w:rPr>
              <w:b/>
              <w:i/>
              <w:color w:val="000000"/>
            </w:rPr>
            <w:tab/>
          </w:r>
          <w:r>
            <w:rPr>
              <w:b/>
              <w:i/>
              <w:color w:val="000000"/>
            </w:rPr>
            <w:tab/>
          </w:r>
        </w:p>
        <w:p w14:paraId="0F5CD4C1" w14:textId="77777777" w:rsidR="006B1F12" w:rsidRDefault="00495819">
          <w:pPr>
            <w:jc w:val="both"/>
            <w:rPr>
              <w:b/>
              <w:i/>
              <w:color w:val="000000"/>
            </w:rPr>
          </w:pPr>
          <w:proofErr w:type="spellStart"/>
          <w:r>
            <w:rPr>
              <w:b/>
              <w:i/>
              <w:color w:val="000000"/>
            </w:rPr>
            <w:t>Request</w:t>
          </w:r>
          <w:proofErr w:type="spellEnd"/>
          <w:r>
            <w:rPr>
              <w:b/>
              <w:i/>
              <w:color w:val="000000"/>
            </w:rPr>
            <w:t xml:space="preserve"> </w:t>
          </w:r>
          <w:proofErr w:type="spellStart"/>
          <w:r>
            <w:rPr>
              <w:b/>
              <w:i/>
              <w:color w:val="000000"/>
            </w:rPr>
            <w:t>for</w:t>
          </w:r>
          <w:proofErr w:type="spellEnd"/>
          <w:r>
            <w:rPr>
              <w:b/>
              <w:i/>
              <w:color w:val="000000"/>
            </w:rPr>
            <w:t xml:space="preserve"> </w:t>
          </w:r>
          <w:proofErr w:type="spellStart"/>
          <w:r>
            <w:rPr>
              <w:b/>
              <w:i/>
              <w:color w:val="000000"/>
            </w:rPr>
            <w:t>Proposal</w:t>
          </w:r>
          <w:proofErr w:type="spellEnd"/>
          <w:r>
            <w:rPr>
              <w:b/>
              <w:i/>
              <w:color w:val="000000"/>
            </w:rPr>
            <w:t xml:space="preserve"> </w:t>
          </w:r>
        </w:p>
        <w:p w14:paraId="0F5CD4C2" w14:textId="77777777" w:rsidR="006B1F12" w:rsidRDefault="00495819">
          <w:pPr>
            <w:jc w:val="both"/>
            <w:rPr>
              <w:b/>
              <w:i/>
              <w:color w:val="000000"/>
            </w:rPr>
          </w:pPr>
          <w:proofErr w:type="spellStart"/>
          <w:r>
            <w:rPr>
              <w:b/>
              <w:i/>
              <w:color w:val="000000"/>
            </w:rPr>
            <w:t>Confidential</w:t>
          </w:r>
          <w:proofErr w:type="spellEnd"/>
        </w:p>
        <w:p w14:paraId="0F5CD4C3" w14:textId="77777777" w:rsidR="006B1F12" w:rsidRDefault="006B1F12">
          <w:pPr>
            <w:jc w:val="both"/>
            <w:rPr>
              <w:b/>
              <w:i/>
              <w:color w:val="000000"/>
            </w:rPr>
          </w:pPr>
        </w:p>
      </w:tc>
      <w:tc>
        <w:tcPr>
          <w:tcW w:w="5809" w:type="dxa"/>
        </w:tcPr>
        <w:p w14:paraId="0F5CD4C4" w14:textId="77777777" w:rsidR="006B1F12" w:rsidRDefault="00495819">
          <w:pPr>
            <w:ind w:left="2832"/>
            <w:jc w:val="both"/>
            <w:rPr>
              <w:b/>
              <w:i/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0F5CD4C7" wp14:editId="0F5CD4C8">
                <wp:extent cx="1743710" cy="1154430"/>
                <wp:effectExtent l="0" t="0" r="0" b="0"/>
                <wp:docPr id="3" name="image1.jpg" descr="C:\Users\sidorkova\Desktop\Logo UKR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sidorkova\Desktop\Logo UKR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710" cy="1154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F5CD4C6" w14:textId="77777777" w:rsidR="006B1F12" w:rsidRDefault="006B1F1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980C0B"/>
    <w:multiLevelType w:val="multilevel"/>
    <w:tmpl w:val="6D78090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lvlText w:val="%1.%2."/>
      <w:lvlJc w:val="left"/>
      <w:pPr>
        <w:ind w:left="963" w:hanging="396"/>
      </w:p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1701" w:hanging="72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475" w:hanging="1080"/>
      </w:pPr>
    </w:lvl>
    <w:lvl w:ilvl="6">
      <w:start w:val="1"/>
      <w:numFmt w:val="decimal"/>
      <w:lvlText w:val="%1.%2.%3.%4.%5.%6.%7."/>
      <w:lvlJc w:val="left"/>
      <w:pPr>
        <w:ind w:left="3042" w:hanging="1440"/>
      </w:pPr>
    </w:lvl>
    <w:lvl w:ilvl="7">
      <w:start w:val="1"/>
      <w:numFmt w:val="decimal"/>
      <w:lvlText w:val="%1.%2.%3.%4.%5.%6.%7.%8."/>
      <w:lvlJc w:val="left"/>
      <w:pPr>
        <w:ind w:left="3249" w:hanging="1440"/>
      </w:pPr>
    </w:lvl>
    <w:lvl w:ilvl="8">
      <w:start w:val="1"/>
      <w:numFmt w:val="decimal"/>
      <w:lvlText w:val="%1.%2.%3.%4.%5.%6.%7.%8.%9."/>
      <w:lvlJc w:val="left"/>
      <w:pPr>
        <w:ind w:left="3816" w:hanging="1798"/>
      </w:pPr>
    </w:lvl>
  </w:abstractNum>
  <w:abstractNum w:abstractNumId="1" w15:restartNumberingAfterBreak="0">
    <w:nsid w:val="50324565"/>
    <w:multiLevelType w:val="multilevel"/>
    <w:tmpl w:val="094ACA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6702E8F"/>
    <w:multiLevelType w:val="multilevel"/>
    <w:tmpl w:val="AE988B5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6EC3EE6"/>
    <w:multiLevelType w:val="multilevel"/>
    <w:tmpl w:val="571A1394"/>
    <w:lvl w:ilvl="0">
      <w:start w:val="1"/>
      <w:numFmt w:val="decimal"/>
      <w:lvlText w:val="%1. "/>
      <w:lvlJc w:val="left"/>
      <w:pPr>
        <w:ind w:left="1701" w:firstLine="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/>
        <w:i w:val="0"/>
        <w:sz w:val="22"/>
        <w:szCs w:val="22"/>
      </w:rPr>
    </w:lvl>
    <w:lvl w:ilvl="2">
      <w:start w:val="1"/>
      <w:numFmt w:val="decimal"/>
      <w:lvlText w:val="%3.%1.%2."/>
      <w:lvlJc w:val="left"/>
      <w:pPr>
        <w:ind w:left="0" w:firstLine="0"/>
      </w:pPr>
      <w:rPr>
        <w:rFonts w:ascii="Calibri" w:eastAsia="Calibri" w:hAnsi="Calibri" w:cs="Calibri"/>
        <w:b w:val="0"/>
        <w:i w:val="0"/>
        <w:sz w:val="22"/>
        <w:szCs w:val="22"/>
      </w:r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4" w15:restartNumberingAfterBreak="0">
    <w:nsid w:val="772B039A"/>
    <w:multiLevelType w:val="multilevel"/>
    <w:tmpl w:val="ADC87B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F12"/>
    <w:rsid w:val="00495819"/>
    <w:rsid w:val="006B1F12"/>
    <w:rsid w:val="00953F7B"/>
    <w:rsid w:val="00DD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CD38D"/>
  <w15:docId w15:val="{CDC649E5-C57F-421E-AC5D-44A55A14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184E"/>
  </w:style>
  <w:style w:type="paragraph" w:styleId="1">
    <w:name w:val="heading 1"/>
    <w:basedOn w:val="a"/>
    <w:next w:val="a"/>
    <w:uiPriority w:val="9"/>
    <w:qFormat/>
    <w:pPr>
      <w:spacing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40" w:after="0"/>
      <w:outlineLvl w:val="1"/>
    </w:pPr>
    <w:rPr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 w:after="0"/>
      <w:outlineLvl w:val="2"/>
    </w:pPr>
    <w:rPr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annotation text"/>
    <w:basedOn w:val="a"/>
    <w:link w:val="a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555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555482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1D6228"/>
    <w:pPr>
      <w:ind w:left="720"/>
      <w:contextualSpacing/>
    </w:pPr>
  </w:style>
  <w:style w:type="paragraph" w:styleId="af1">
    <w:name w:val="footnote text"/>
    <w:basedOn w:val="a"/>
    <w:link w:val="af2"/>
    <w:uiPriority w:val="99"/>
    <w:semiHidden/>
    <w:unhideWhenUsed/>
    <w:rsid w:val="000913DF"/>
    <w:pPr>
      <w:spacing w:after="0" w:line="240" w:lineRule="auto"/>
    </w:pPr>
    <w:rPr>
      <w:sz w:val="20"/>
      <w:szCs w:val="20"/>
    </w:rPr>
  </w:style>
  <w:style w:type="character" w:customStyle="1" w:styleId="af2">
    <w:name w:val="Текст виноски Знак"/>
    <w:basedOn w:val="a0"/>
    <w:link w:val="af1"/>
    <w:uiPriority w:val="99"/>
    <w:semiHidden/>
    <w:rsid w:val="000913DF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0913DF"/>
    <w:rPr>
      <w:vertAlign w:val="superscript"/>
    </w:rPr>
  </w:style>
  <w:style w:type="character" w:styleId="af4">
    <w:name w:val="Hyperlink"/>
    <w:basedOn w:val="a0"/>
    <w:uiPriority w:val="99"/>
    <w:unhideWhenUsed/>
    <w:rsid w:val="00344BEC"/>
    <w:rPr>
      <w:color w:val="0000FF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344BEC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344BEC"/>
    <w:rPr>
      <w:color w:val="800080" w:themeColor="followedHyperlink"/>
      <w:u w:val="single"/>
    </w:rPr>
  </w:style>
  <w:style w:type="table" w:customStyle="1" w:styleId="af7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fd">
    <w:name w:val="Grid Table Light"/>
    <w:basedOn w:val="a1"/>
    <w:uiPriority w:val="40"/>
    <w:rsid w:val="000F2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2p.org.u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.shevchuk@r2p.org.u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VwRW8cdPPSryUYzRrRsQ0Bhaww==">AMUW2mX/FXALwKekoEq0dS5kgtzSpTSb60+XY2aX6ZRht4ohb3o4eRCOHyO8rmJQSZeYMf+vcfOQVi/y28LR2RSl/E2H8uE4ZjAV1B2qIVZ3KPmiObQjVPrHJcZwWXZSIEwIokDwmIxTyRPnatgEdSnzIC4Sly4/2Fa3DfhZBAgCRwftHqnHJtis9gLLl1YQP0/nqZfJJ4gGRKY7gFUUW5Y39t6TP/88zW9bbeOtgdwW+kCt45PTvWZ+nhAgg06CWC2DCuIU3W8B/sH1VXA3hG2c9JmpmS7RUwgWJTDIknWwJSmkTo5zMNPFf7bBbc8odnZ56dKyz/ufe+RYm+C7gVEzPXuMmGt3Fp1xBqal/4VffzsojziJg0OpIqNwnGsjGQtcyI1NTEA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9</Pages>
  <Words>9703</Words>
  <Characters>5531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Lukianenko</dc:creator>
  <cp:lastModifiedBy>User</cp:lastModifiedBy>
  <cp:revision>3</cp:revision>
  <dcterms:created xsi:type="dcterms:W3CDTF">2023-03-29T12:04:00Z</dcterms:created>
  <dcterms:modified xsi:type="dcterms:W3CDTF">2023-03-30T09:28:00Z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fee7770b4b894c929b39064f2e5371ccaf6c69bbc09739711665ddf0ffdd3dd5</vt:lpwstr>
  </property>
</Properties>
</file>